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8A4B" w14:textId="143DF820" w:rsidR="00E276A4" w:rsidRDefault="000E7598" w:rsidP="00016C51">
      <w:pPr>
        <w:pStyle w:val="Heading1"/>
      </w:pPr>
      <w:r>
        <w:rPr>
          <w:color w:val="7E1144"/>
        </w:rPr>
        <w:t xml:space="preserve">Full-year </w:t>
      </w:r>
      <w:r w:rsidR="00016C51" w:rsidRPr="000E7598">
        <w:rPr>
          <w:color w:val="7E1144"/>
        </w:rPr>
        <w:t>p</w:t>
      </w:r>
      <w:r w:rsidR="004B4544" w:rsidRPr="000E7598">
        <w:rPr>
          <w:color w:val="7E1144"/>
        </w:rPr>
        <w:t>lan: Mathematics and Statistics</w:t>
      </w:r>
      <w:r w:rsidR="00016C51" w:rsidRPr="000E7598">
        <w:rPr>
          <w:color w:val="7E1144"/>
        </w:rPr>
        <w:t xml:space="preserve">, early level </w:t>
      </w:r>
      <w:r w:rsidR="00830D74" w:rsidRPr="000E7598">
        <w:rPr>
          <w:color w:val="7E1144"/>
        </w:rPr>
        <w:t>thre</w:t>
      </w:r>
      <w:bookmarkStart w:id="0" w:name="_GoBack"/>
      <w:bookmarkEnd w:id="0"/>
      <w:r w:rsidR="00830D74" w:rsidRPr="000E7598">
        <w:rPr>
          <w:color w:val="7E1144"/>
        </w:rPr>
        <w:t>e</w:t>
      </w:r>
    </w:p>
    <w:p w14:paraId="645FCDF6" w14:textId="77777777" w:rsidR="00D83645" w:rsidRPr="00D83645" w:rsidRDefault="00D83645" w:rsidP="00D83645"/>
    <w:tbl>
      <w:tblPr>
        <w:tblStyle w:val="TableGrid"/>
        <w:tblW w:w="0" w:type="auto"/>
        <w:tblLook w:val="04A0" w:firstRow="1" w:lastRow="0" w:firstColumn="1" w:lastColumn="0" w:noHBand="0" w:noVBand="1"/>
      </w:tblPr>
      <w:tblGrid>
        <w:gridCol w:w="3566"/>
        <w:gridCol w:w="3567"/>
        <w:gridCol w:w="3566"/>
        <w:gridCol w:w="3567"/>
      </w:tblGrid>
      <w:tr w:rsidR="000E7598" w14:paraId="1D77BA74" w14:textId="77777777" w:rsidTr="00080626">
        <w:trPr>
          <w:trHeight w:val="678"/>
        </w:trPr>
        <w:tc>
          <w:tcPr>
            <w:tcW w:w="3566" w:type="dxa"/>
          </w:tcPr>
          <w:p w14:paraId="3E44B5B9" w14:textId="3B81998C" w:rsidR="000E7598" w:rsidRPr="00B815B5" w:rsidRDefault="000E7598" w:rsidP="00E276A4">
            <w:pPr>
              <w:spacing w:before="120" w:after="120"/>
              <w:jc w:val="center"/>
              <w:rPr>
                <w:sz w:val="24"/>
                <w:szCs w:val="24"/>
              </w:rPr>
            </w:pPr>
            <w:r w:rsidRPr="00B815B5">
              <w:rPr>
                <w:sz w:val="24"/>
                <w:szCs w:val="24"/>
              </w:rPr>
              <w:t>Term One</w:t>
            </w:r>
          </w:p>
        </w:tc>
        <w:tc>
          <w:tcPr>
            <w:tcW w:w="3567" w:type="dxa"/>
          </w:tcPr>
          <w:p w14:paraId="6CFC5804" w14:textId="2B394005" w:rsidR="000E7598" w:rsidRPr="00B815B5" w:rsidRDefault="000E7598" w:rsidP="00E276A4">
            <w:pPr>
              <w:spacing w:before="120" w:after="120"/>
              <w:jc w:val="center"/>
              <w:rPr>
                <w:sz w:val="24"/>
                <w:szCs w:val="24"/>
              </w:rPr>
            </w:pPr>
            <w:r w:rsidRPr="00B815B5">
              <w:rPr>
                <w:sz w:val="24"/>
                <w:szCs w:val="24"/>
              </w:rPr>
              <w:t>Term Two</w:t>
            </w:r>
          </w:p>
        </w:tc>
        <w:tc>
          <w:tcPr>
            <w:tcW w:w="3566" w:type="dxa"/>
          </w:tcPr>
          <w:p w14:paraId="27C97B2E" w14:textId="392CAE0A" w:rsidR="000E7598" w:rsidRPr="00B815B5" w:rsidRDefault="000E7598" w:rsidP="00E276A4">
            <w:pPr>
              <w:spacing w:before="120" w:after="120"/>
              <w:jc w:val="center"/>
              <w:rPr>
                <w:sz w:val="24"/>
                <w:szCs w:val="24"/>
              </w:rPr>
            </w:pPr>
            <w:r w:rsidRPr="00B815B5">
              <w:rPr>
                <w:sz w:val="24"/>
                <w:szCs w:val="24"/>
              </w:rPr>
              <w:t>Term Three</w:t>
            </w:r>
          </w:p>
        </w:tc>
        <w:tc>
          <w:tcPr>
            <w:tcW w:w="3567" w:type="dxa"/>
          </w:tcPr>
          <w:p w14:paraId="77875293" w14:textId="6681F7DE" w:rsidR="000E7598" w:rsidRPr="00B815B5" w:rsidRDefault="000E7598" w:rsidP="00E276A4">
            <w:pPr>
              <w:spacing w:before="120" w:after="120"/>
              <w:jc w:val="center"/>
              <w:rPr>
                <w:sz w:val="24"/>
                <w:szCs w:val="24"/>
              </w:rPr>
            </w:pPr>
            <w:r w:rsidRPr="00B815B5">
              <w:rPr>
                <w:sz w:val="24"/>
                <w:szCs w:val="24"/>
              </w:rPr>
              <w:t>Term Four</w:t>
            </w:r>
          </w:p>
        </w:tc>
      </w:tr>
      <w:tr w:rsidR="000E7598" w14:paraId="511C068B" w14:textId="77777777" w:rsidTr="00933F60">
        <w:trPr>
          <w:trHeight w:val="659"/>
        </w:trPr>
        <w:tc>
          <w:tcPr>
            <w:tcW w:w="3566" w:type="dxa"/>
            <w:vMerge w:val="restart"/>
            <w:shd w:val="clear" w:color="auto" w:fill="auto"/>
          </w:tcPr>
          <w:p w14:paraId="2DEBAE94" w14:textId="0B9D428D" w:rsidR="000E7598" w:rsidRDefault="000E7598" w:rsidP="00933F60">
            <w:pPr>
              <w:spacing w:before="120" w:after="120"/>
              <w:jc w:val="center"/>
            </w:pPr>
            <w:hyperlink r:id="rId8" w:history="1">
              <w:r w:rsidRPr="00213506">
                <w:rPr>
                  <w:rStyle w:val="Hyperlink"/>
                </w:rPr>
                <w:t>In this year</w:t>
              </w:r>
            </w:hyperlink>
            <w:r w:rsidRPr="00213506">
              <w:t xml:space="preserve"> </w:t>
            </w:r>
          </w:p>
          <w:p w14:paraId="3D547E1A" w14:textId="089A3E4C" w:rsidR="000E7598" w:rsidRDefault="000E7598" w:rsidP="00933F60">
            <w:pPr>
              <w:spacing w:before="120" w:after="120"/>
              <w:jc w:val="center"/>
            </w:pPr>
            <w:r w:rsidRPr="00213506">
              <w:t>(Thematic Unit)</w:t>
            </w:r>
          </w:p>
        </w:tc>
        <w:tc>
          <w:tcPr>
            <w:tcW w:w="3567" w:type="dxa"/>
            <w:vMerge w:val="restart"/>
            <w:shd w:val="clear" w:color="auto" w:fill="auto"/>
          </w:tcPr>
          <w:p w14:paraId="2E64E308" w14:textId="09C7E97C" w:rsidR="000E7598" w:rsidRPr="00213506" w:rsidRDefault="000E7598" w:rsidP="00933F60">
            <w:pPr>
              <w:spacing w:before="120" w:after="120"/>
              <w:jc w:val="center"/>
              <w:rPr>
                <w:rStyle w:val="Hyperlink"/>
              </w:rPr>
            </w:pPr>
            <w:hyperlink r:id="rId9" w:history="1">
              <w:r w:rsidRPr="00213506">
                <w:rPr>
                  <w:rStyle w:val="Hyperlink"/>
                </w:rPr>
                <w:t>Areas of rectangles</w:t>
              </w:r>
            </w:hyperlink>
          </w:p>
          <w:p w14:paraId="6D7670C0" w14:textId="2124F143" w:rsidR="000E7598" w:rsidRDefault="000E7598" w:rsidP="00933F60">
            <w:pPr>
              <w:spacing w:before="120" w:after="120"/>
              <w:jc w:val="center"/>
            </w:pPr>
            <w:r>
              <w:t>(</w:t>
            </w:r>
            <w:r w:rsidRPr="00213506">
              <w:t>Area</w:t>
            </w:r>
            <w:r>
              <w:t>)</w:t>
            </w:r>
          </w:p>
        </w:tc>
        <w:tc>
          <w:tcPr>
            <w:tcW w:w="3566" w:type="dxa"/>
            <w:vMerge w:val="restart"/>
          </w:tcPr>
          <w:p w14:paraId="719BA504" w14:textId="7D7B5B59" w:rsidR="000E7598" w:rsidRPr="00213506" w:rsidRDefault="000E7598" w:rsidP="00933F60">
            <w:pPr>
              <w:spacing w:before="120" w:after="120"/>
              <w:jc w:val="center"/>
              <w:rPr>
                <w:rStyle w:val="Hyperlink"/>
              </w:rPr>
            </w:pPr>
            <w:hyperlink r:id="rId10" w:history="1">
              <w:r w:rsidRPr="00213506">
                <w:rPr>
                  <w:rStyle w:val="Hyperlink"/>
                </w:rPr>
                <w:t>Te wh</w:t>
              </w:r>
              <w:r>
                <w:rPr>
                  <w:rStyle w:val="Hyperlink"/>
                </w:rPr>
                <w:t>ā</w:t>
              </w:r>
              <w:r w:rsidRPr="00213506">
                <w:rPr>
                  <w:rStyle w:val="Hyperlink"/>
                </w:rPr>
                <w:t>n</w:t>
              </w:r>
              <w:r>
                <w:rPr>
                  <w:rStyle w:val="Hyperlink"/>
                </w:rPr>
                <w:t>au</w:t>
              </w:r>
              <w:r w:rsidRPr="00213506">
                <w:rPr>
                  <w:rStyle w:val="Hyperlink"/>
                </w:rPr>
                <w:t xml:space="preserve"> taparau – </w:t>
              </w:r>
              <w:r>
                <w:rPr>
                  <w:rStyle w:val="Hyperlink"/>
                </w:rPr>
                <w:t>t</w:t>
              </w:r>
              <w:r w:rsidRPr="00213506">
                <w:rPr>
                  <w:rStyle w:val="Hyperlink"/>
                </w:rPr>
                <w:t>he polygon family</w:t>
              </w:r>
            </w:hyperlink>
          </w:p>
          <w:p w14:paraId="73D076A0" w14:textId="40E2EB0C" w:rsidR="000E7598" w:rsidRDefault="000E7598" w:rsidP="00933F60">
            <w:pPr>
              <w:spacing w:before="120" w:after="120"/>
              <w:jc w:val="center"/>
            </w:pPr>
            <w:r>
              <w:t>(</w:t>
            </w:r>
            <w:r w:rsidRPr="00213506">
              <w:t>Properties of 2D shapes</w:t>
            </w:r>
            <w:r>
              <w:t>)</w:t>
            </w:r>
          </w:p>
        </w:tc>
        <w:tc>
          <w:tcPr>
            <w:tcW w:w="3567" w:type="dxa"/>
            <w:vMerge w:val="restart"/>
          </w:tcPr>
          <w:p w14:paraId="5A9ACA2D" w14:textId="459C0545" w:rsidR="000E7598" w:rsidRPr="00213506" w:rsidRDefault="000E7598" w:rsidP="00933F60">
            <w:pPr>
              <w:spacing w:before="120" w:after="120"/>
              <w:jc w:val="center"/>
              <w:rPr>
                <w:rStyle w:val="Hyperlink"/>
              </w:rPr>
            </w:pPr>
            <w:hyperlink r:id="rId11" w:history="1">
              <w:r w:rsidRPr="00213506">
                <w:rPr>
                  <w:rStyle w:val="Hyperlink"/>
                </w:rPr>
                <w:t>Calibrating Clocks</w:t>
              </w:r>
            </w:hyperlink>
          </w:p>
          <w:p w14:paraId="1F63C227" w14:textId="3F5B003D" w:rsidR="000E7598" w:rsidRDefault="000E7598" w:rsidP="00933F60">
            <w:pPr>
              <w:spacing w:before="120" w:after="120"/>
              <w:jc w:val="center"/>
            </w:pPr>
            <w:r>
              <w:t>(</w:t>
            </w:r>
            <w:r w:rsidRPr="00213506">
              <w:t>Measuring time</w:t>
            </w:r>
            <w:r>
              <w:t>)</w:t>
            </w:r>
          </w:p>
        </w:tc>
      </w:tr>
      <w:tr w:rsidR="000E7598" w14:paraId="0BD7A75E" w14:textId="77777777" w:rsidTr="00080626">
        <w:trPr>
          <w:trHeight w:val="640"/>
        </w:trPr>
        <w:tc>
          <w:tcPr>
            <w:tcW w:w="3566" w:type="dxa"/>
            <w:vMerge/>
            <w:shd w:val="clear" w:color="auto" w:fill="auto"/>
          </w:tcPr>
          <w:p w14:paraId="4F67C31D" w14:textId="77777777" w:rsidR="000E7598" w:rsidRDefault="000E7598" w:rsidP="00933F60">
            <w:pPr>
              <w:spacing w:before="120" w:after="120"/>
              <w:jc w:val="center"/>
            </w:pPr>
          </w:p>
        </w:tc>
        <w:tc>
          <w:tcPr>
            <w:tcW w:w="3567" w:type="dxa"/>
            <w:vMerge/>
            <w:shd w:val="clear" w:color="auto" w:fill="auto"/>
          </w:tcPr>
          <w:p w14:paraId="5AB50241" w14:textId="77777777" w:rsidR="000E7598" w:rsidRDefault="000E7598" w:rsidP="00933F60">
            <w:pPr>
              <w:spacing w:before="120" w:after="120"/>
              <w:jc w:val="center"/>
            </w:pPr>
          </w:p>
        </w:tc>
        <w:tc>
          <w:tcPr>
            <w:tcW w:w="3566" w:type="dxa"/>
            <w:vMerge/>
          </w:tcPr>
          <w:p w14:paraId="6D2465D5" w14:textId="77777777" w:rsidR="000E7598" w:rsidRDefault="000E7598" w:rsidP="00933F60">
            <w:pPr>
              <w:spacing w:before="120" w:after="120"/>
              <w:jc w:val="center"/>
            </w:pPr>
          </w:p>
        </w:tc>
        <w:tc>
          <w:tcPr>
            <w:tcW w:w="3567" w:type="dxa"/>
            <w:vMerge/>
          </w:tcPr>
          <w:p w14:paraId="28637DA3" w14:textId="77777777" w:rsidR="000E7598" w:rsidRDefault="000E7598" w:rsidP="00933F60">
            <w:pPr>
              <w:spacing w:before="120" w:after="120"/>
              <w:jc w:val="center"/>
            </w:pPr>
          </w:p>
        </w:tc>
      </w:tr>
      <w:tr w:rsidR="000E7598" w14:paraId="7019D7F9" w14:textId="77777777" w:rsidTr="00080626">
        <w:trPr>
          <w:trHeight w:val="659"/>
        </w:trPr>
        <w:tc>
          <w:tcPr>
            <w:tcW w:w="3566" w:type="dxa"/>
            <w:vMerge w:val="restart"/>
            <w:shd w:val="clear" w:color="auto" w:fill="auto"/>
          </w:tcPr>
          <w:p w14:paraId="22A50C0F" w14:textId="74F64266" w:rsidR="000E7598" w:rsidRPr="00EC4F4F" w:rsidRDefault="000E7598" w:rsidP="00933F60">
            <w:pPr>
              <w:spacing w:before="120" w:after="120"/>
              <w:jc w:val="center"/>
              <w:rPr>
                <w:rStyle w:val="Hyperlink"/>
              </w:rPr>
            </w:pPr>
            <w:r>
              <w:fldChar w:fldCharType="begin"/>
            </w:r>
            <w:r>
              <w:instrText xml:space="preserve"> HYPERLINK "https://nzmaths.co.nz/node/37298" </w:instrText>
            </w:r>
            <w:r>
              <w:fldChar w:fldCharType="separate"/>
            </w:r>
            <w:r w:rsidRPr="00EC4F4F">
              <w:rPr>
                <w:rStyle w:val="Hyperlink"/>
              </w:rPr>
              <w:t xml:space="preserve">Building a multiplicative view of whole numbers </w:t>
            </w:r>
          </w:p>
          <w:p w14:paraId="07B2228E" w14:textId="798E032A" w:rsidR="000E7598" w:rsidRDefault="000E7598" w:rsidP="00933F60">
            <w:pPr>
              <w:spacing w:before="120" w:after="120"/>
              <w:jc w:val="center"/>
            </w:pPr>
            <w:r>
              <w:fldChar w:fldCharType="end"/>
            </w:r>
            <w:r>
              <w:rPr>
                <w:lang w:val="mi-NZ"/>
              </w:rPr>
              <w:t>(</w:t>
            </w:r>
            <w:r w:rsidRPr="00213506">
              <w:rPr>
                <w:lang w:val="mi-NZ"/>
              </w:rPr>
              <w:t>Place values of whole numbers</w:t>
            </w:r>
            <w:r>
              <w:rPr>
                <w:lang w:val="mi-NZ"/>
              </w:rPr>
              <w:t>)</w:t>
            </w:r>
          </w:p>
        </w:tc>
        <w:tc>
          <w:tcPr>
            <w:tcW w:w="3567" w:type="dxa"/>
            <w:vMerge w:val="restart"/>
            <w:shd w:val="clear" w:color="auto" w:fill="auto"/>
          </w:tcPr>
          <w:p w14:paraId="468227C0" w14:textId="1A2CD2B2" w:rsidR="000E7598" w:rsidRPr="00213506" w:rsidRDefault="000E7598" w:rsidP="00933F60">
            <w:pPr>
              <w:spacing w:before="120" w:after="120"/>
              <w:jc w:val="center"/>
              <w:rPr>
                <w:rStyle w:val="Hyperlink"/>
              </w:rPr>
            </w:pPr>
            <w:hyperlink r:id="rId12" w:history="1">
              <w:r w:rsidRPr="00213506">
                <w:rPr>
                  <w:rStyle w:val="Hyperlink"/>
                </w:rPr>
                <w:t xml:space="preserve">Cuisenaire </w:t>
              </w:r>
              <w:r>
                <w:rPr>
                  <w:rStyle w:val="Hyperlink"/>
                </w:rPr>
                <w:t xml:space="preserve">Rod </w:t>
              </w:r>
              <w:r w:rsidRPr="00213506">
                <w:rPr>
                  <w:rStyle w:val="Hyperlink"/>
                </w:rPr>
                <w:t>Fractions</w:t>
              </w:r>
              <w:r>
                <w:rPr>
                  <w:rStyle w:val="Hyperlink"/>
                </w:rPr>
                <w:t>:</w:t>
              </w:r>
              <w:r w:rsidRPr="00213506">
                <w:rPr>
                  <w:rStyle w:val="Hyperlink"/>
                </w:rPr>
                <w:t xml:space="preserve"> Level 3</w:t>
              </w:r>
            </w:hyperlink>
          </w:p>
          <w:p w14:paraId="57E4446D" w14:textId="6921D94D" w:rsidR="000E7598" w:rsidRDefault="000E7598" w:rsidP="00933F60">
            <w:pPr>
              <w:spacing w:before="120" w:after="120"/>
              <w:jc w:val="center"/>
            </w:pPr>
            <w:r>
              <w:t>(</w:t>
            </w:r>
            <w:r w:rsidRPr="00213506">
              <w:t>Fractional numbers</w:t>
            </w:r>
            <w:r>
              <w:t>)</w:t>
            </w:r>
          </w:p>
        </w:tc>
        <w:tc>
          <w:tcPr>
            <w:tcW w:w="3566" w:type="dxa"/>
            <w:vMerge w:val="restart"/>
          </w:tcPr>
          <w:p w14:paraId="10BDF44E" w14:textId="2404650D" w:rsidR="000E7598" w:rsidRPr="00213506" w:rsidRDefault="000E7598" w:rsidP="00933F60">
            <w:pPr>
              <w:spacing w:before="120" w:after="120"/>
              <w:jc w:val="center"/>
            </w:pPr>
            <w:hyperlink r:id="rId13" w:history="1">
              <w:r w:rsidRPr="0090706B">
                <w:rPr>
                  <w:rStyle w:val="Hyperlink"/>
                </w:rPr>
                <w:t xml:space="preserve">Productive </w:t>
              </w:r>
              <w:r>
                <w:rPr>
                  <w:rStyle w:val="Hyperlink"/>
                </w:rPr>
                <w:t>t</w:t>
              </w:r>
              <w:r w:rsidRPr="0090706B">
                <w:rPr>
                  <w:rStyle w:val="Hyperlink"/>
                </w:rPr>
                <w:t>hinking</w:t>
              </w:r>
            </w:hyperlink>
          </w:p>
          <w:p w14:paraId="6B21F531" w14:textId="5C5FFAB5" w:rsidR="000E7598" w:rsidRDefault="000E7598" w:rsidP="00933F60">
            <w:pPr>
              <w:spacing w:before="120" w:after="120"/>
              <w:jc w:val="center"/>
            </w:pPr>
            <w:r>
              <w:t>(</w:t>
            </w:r>
            <w:r w:rsidRPr="00213506">
              <w:t>Multiplication and division of whole numbers</w:t>
            </w:r>
            <w:r>
              <w:t>)</w:t>
            </w:r>
          </w:p>
        </w:tc>
        <w:tc>
          <w:tcPr>
            <w:tcW w:w="3567" w:type="dxa"/>
            <w:vMerge w:val="restart"/>
          </w:tcPr>
          <w:p w14:paraId="6097DD6F" w14:textId="5B353EA7" w:rsidR="000E7598" w:rsidRPr="00BE1736" w:rsidRDefault="000E7598" w:rsidP="00933F60">
            <w:pPr>
              <w:spacing w:before="120" w:after="120"/>
              <w:jc w:val="center"/>
              <w:rPr>
                <w:rStyle w:val="Hyperlink"/>
              </w:rPr>
            </w:pPr>
            <w:r>
              <w:fldChar w:fldCharType="begin"/>
            </w:r>
            <w:r>
              <w:instrText>HYPERLINK "https://nzmaths.co.nz/node/17671"</w:instrText>
            </w:r>
            <w:r>
              <w:fldChar w:fldCharType="separate"/>
            </w:r>
            <w:r w:rsidRPr="00BE1736">
              <w:rPr>
                <w:rStyle w:val="Hyperlink"/>
              </w:rPr>
              <w:t xml:space="preserve">Multiplication and </w:t>
            </w:r>
            <w:r>
              <w:rPr>
                <w:rStyle w:val="Hyperlink"/>
              </w:rPr>
              <w:t>d</w:t>
            </w:r>
            <w:r w:rsidRPr="00BE1736">
              <w:rPr>
                <w:rStyle w:val="Hyperlink"/>
              </w:rPr>
              <w:t xml:space="preserve">ivision </w:t>
            </w:r>
            <w:r>
              <w:rPr>
                <w:rStyle w:val="Hyperlink"/>
              </w:rPr>
              <w:t>s</w:t>
            </w:r>
            <w:r w:rsidRPr="00BE1736">
              <w:rPr>
                <w:rStyle w:val="Hyperlink"/>
              </w:rPr>
              <w:t>ymbol</w:t>
            </w:r>
            <w:r>
              <w:rPr>
                <w:rStyle w:val="Hyperlink"/>
              </w:rPr>
              <w:t>s, expressions and relationship</w:t>
            </w:r>
            <w:r w:rsidRPr="00BE1736">
              <w:rPr>
                <w:rStyle w:val="Hyperlink"/>
              </w:rPr>
              <w:t>s</w:t>
            </w:r>
          </w:p>
          <w:p w14:paraId="10C852B6" w14:textId="1C6F963A" w:rsidR="000E7598" w:rsidRDefault="000E7598" w:rsidP="00933F60">
            <w:pPr>
              <w:spacing w:before="120" w:after="120"/>
              <w:jc w:val="center"/>
            </w:pPr>
            <w:r>
              <w:fldChar w:fldCharType="end"/>
            </w:r>
            <w:r>
              <w:t>(</w:t>
            </w:r>
            <w:r w:rsidRPr="00213506">
              <w:t>Multiplication and division of whole numbers</w:t>
            </w:r>
            <w:r>
              <w:t>)</w:t>
            </w:r>
          </w:p>
        </w:tc>
      </w:tr>
      <w:tr w:rsidR="000E7598" w14:paraId="7B182E7D" w14:textId="77777777" w:rsidTr="00080626">
        <w:trPr>
          <w:trHeight w:val="640"/>
        </w:trPr>
        <w:tc>
          <w:tcPr>
            <w:tcW w:w="3566" w:type="dxa"/>
            <w:vMerge/>
            <w:shd w:val="clear" w:color="auto" w:fill="auto"/>
          </w:tcPr>
          <w:p w14:paraId="70AED9A0" w14:textId="10F9A05B" w:rsidR="000E7598" w:rsidRDefault="000E7598" w:rsidP="00933F60">
            <w:pPr>
              <w:spacing w:before="120" w:after="120"/>
              <w:jc w:val="center"/>
            </w:pPr>
          </w:p>
        </w:tc>
        <w:tc>
          <w:tcPr>
            <w:tcW w:w="3567" w:type="dxa"/>
            <w:vMerge/>
            <w:shd w:val="clear" w:color="auto" w:fill="auto"/>
          </w:tcPr>
          <w:p w14:paraId="7EDFC476" w14:textId="77777777" w:rsidR="000E7598" w:rsidRDefault="000E7598" w:rsidP="00933F60">
            <w:pPr>
              <w:spacing w:before="120" w:after="120"/>
              <w:jc w:val="center"/>
            </w:pPr>
          </w:p>
        </w:tc>
        <w:tc>
          <w:tcPr>
            <w:tcW w:w="3566" w:type="dxa"/>
            <w:vMerge/>
          </w:tcPr>
          <w:p w14:paraId="6980CE16" w14:textId="77777777" w:rsidR="000E7598" w:rsidRDefault="000E7598" w:rsidP="00933F60">
            <w:pPr>
              <w:spacing w:before="120" w:after="120"/>
              <w:jc w:val="center"/>
            </w:pPr>
          </w:p>
        </w:tc>
        <w:tc>
          <w:tcPr>
            <w:tcW w:w="3567" w:type="dxa"/>
            <w:vMerge/>
          </w:tcPr>
          <w:p w14:paraId="0D6F1F80" w14:textId="77777777" w:rsidR="000E7598" w:rsidRDefault="000E7598" w:rsidP="00933F60">
            <w:pPr>
              <w:spacing w:before="120" w:after="120"/>
              <w:jc w:val="center"/>
            </w:pPr>
          </w:p>
        </w:tc>
      </w:tr>
      <w:tr w:rsidR="000E7598" w14:paraId="530ACF84" w14:textId="77777777" w:rsidTr="00080626">
        <w:trPr>
          <w:trHeight w:val="659"/>
        </w:trPr>
        <w:tc>
          <w:tcPr>
            <w:tcW w:w="3566" w:type="dxa"/>
            <w:vMerge w:val="restart"/>
            <w:shd w:val="clear" w:color="auto" w:fill="auto"/>
          </w:tcPr>
          <w:p w14:paraId="48F6063D" w14:textId="5F6024C4" w:rsidR="000E7598" w:rsidRPr="00D37269" w:rsidRDefault="000E7598" w:rsidP="00933F60">
            <w:pPr>
              <w:spacing w:before="120" w:after="120"/>
              <w:jc w:val="center"/>
              <w:rPr>
                <w:rStyle w:val="Hyperlink"/>
              </w:rPr>
            </w:pPr>
            <w:r>
              <w:fldChar w:fldCharType="begin"/>
            </w:r>
            <w:r>
              <w:instrText>HYPERLINK "https://nzmaths.co.nz/node/198"</w:instrText>
            </w:r>
            <w:r>
              <w:fldChar w:fldCharType="separate"/>
            </w:r>
            <w:hyperlink r:id="rId14" w:history="1">
              <w:r w:rsidRPr="00D37269">
                <w:rPr>
                  <w:rStyle w:val="Hyperlink"/>
                </w:rPr>
                <w:t>Location,</w:t>
              </w:r>
            </w:hyperlink>
            <w:r w:rsidRPr="00D37269">
              <w:rPr>
                <w:rStyle w:val="Hyperlink"/>
              </w:rPr>
              <w:t xml:space="preserve"> location</w:t>
            </w:r>
          </w:p>
          <w:p w14:paraId="215A390A" w14:textId="6F63A62B" w:rsidR="000E7598" w:rsidRPr="00213506" w:rsidRDefault="000E7598" w:rsidP="00933F60">
            <w:pPr>
              <w:spacing w:before="120" w:after="120"/>
              <w:jc w:val="center"/>
              <w:rPr>
                <w:rStyle w:val="Hyperlink"/>
                <w:color w:val="000000" w:themeColor="text1"/>
                <w:u w:val="none"/>
              </w:rPr>
            </w:pPr>
            <w:r>
              <w:fldChar w:fldCharType="end"/>
            </w:r>
            <w:r>
              <w:rPr>
                <w:rStyle w:val="Hyperlink"/>
                <w:color w:val="000000" w:themeColor="text1"/>
                <w:u w:val="none"/>
              </w:rPr>
              <w:t>(</w:t>
            </w:r>
            <w:r w:rsidRPr="00213506">
              <w:rPr>
                <w:rStyle w:val="Hyperlink"/>
                <w:color w:val="000000" w:themeColor="text1"/>
                <w:u w:val="none"/>
              </w:rPr>
              <w:t>Maps, compass points, co-ordinates</w:t>
            </w:r>
            <w:r>
              <w:rPr>
                <w:rStyle w:val="Hyperlink"/>
                <w:color w:val="000000" w:themeColor="text1"/>
                <w:u w:val="none"/>
              </w:rPr>
              <w:t>)</w:t>
            </w:r>
          </w:p>
          <w:p w14:paraId="7C8AAF59" w14:textId="327EE3CD" w:rsidR="000E7598" w:rsidRDefault="000E7598" w:rsidP="00933F60">
            <w:pPr>
              <w:spacing w:before="120" w:after="120"/>
              <w:jc w:val="center"/>
            </w:pPr>
          </w:p>
        </w:tc>
        <w:tc>
          <w:tcPr>
            <w:tcW w:w="3567" w:type="dxa"/>
            <w:vMerge w:val="restart"/>
            <w:shd w:val="clear" w:color="auto" w:fill="auto"/>
          </w:tcPr>
          <w:p w14:paraId="5FF911D9" w14:textId="20D0EAB9" w:rsidR="000E7598" w:rsidRPr="00213506" w:rsidRDefault="000E7598" w:rsidP="00933F60">
            <w:pPr>
              <w:spacing w:before="120" w:after="120"/>
              <w:jc w:val="center"/>
              <w:rPr>
                <w:rStyle w:val="Hyperlink"/>
              </w:rPr>
            </w:pPr>
            <w:hyperlink r:id="rId15" w:history="1">
              <w:r w:rsidRPr="00213506">
                <w:rPr>
                  <w:rStyle w:val="Hyperlink"/>
                </w:rPr>
                <w:t xml:space="preserve">Data </w:t>
              </w:r>
              <w:r>
                <w:rPr>
                  <w:rStyle w:val="Hyperlink"/>
                </w:rPr>
                <w:t>Cards</w:t>
              </w:r>
              <w:r w:rsidRPr="00213506">
                <w:rPr>
                  <w:rStyle w:val="Hyperlink"/>
                </w:rPr>
                <w:t xml:space="preserve"> Level 3</w:t>
              </w:r>
            </w:hyperlink>
          </w:p>
          <w:p w14:paraId="6F75EE1A" w14:textId="1FB5B44E" w:rsidR="000E7598" w:rsidRDefault="000E7598" w:rsidP="00933F60">
            <w:pPr>
              <w:spacing w:before="120" w:after="120"/>
              <w:jc w:val="center"/>
            </w:pPr>
            <w:r>
              <w:rPr>
                <w:rStyle w:val="Hyperlink"/>
                <w:color w:val="000000" w:themeColor="text1"/>
                <w:u w:val="none"/>
              </w:rPr>
              <w:t>(</w:t>
            </w:r>
            <w:r w:rsidRPr="00213506">
              <w:rPr>
                <w:rStyle w:val="Hyperlink"/>
                <w:color w:val="000000" w:themeColor="text1"/>
                <w:u w:val="none"/>
              </w:rPr>
              <w:t>Statistical inquiry cycle with multi-variate data</w:t>
            </w:r>
            <w:r>
              <w:rPr>
                <w:rStyle w:val="Hyperlink"/>
                <w:color w:val="000000" w:themeColor="text1"/>
                <w:u w:val="none"/>
              </w:rPr>
              <w:t>)</w:t>
            </w:r>
          </w:p>
        </w:tc>
        <w:tc>
          <w:tcPr>
            <w:tcW w:w="3566" w:type="dxa"/>
            <w:vMerge w:val="restart"/>
          </w:tcPr>
          <w:p w14:paraId="13A82ACE" w14:textId="74DE744F" w:rsidR="000E7598" w:rsidRPr="00213506" w:rsidRDefault="000E7598" w:rsidP="00933F60">
            <w:pPr>
              <w:spacing w:before="120" w:after="120"/>
              <w:jc w:val="center"/>
              <w:rPr>
                <w:rStyle w:val="Hyperlink"/>
              </w:rPr>
            </w:pPr>
            <w:hyperlink r:id="rId16" w:history="1">
              <w:r w:rsidRPr="00213506">
                <w:rPr>
                  <w:rStyle w:val="Hyperlink"/>
                </w:rPr>
                <w:t>Boxing On</w:t>
              </w:r>
            </w:hyperlink>
          </w:p>
          <w:p w14:paraId="357ECEFE" w14:textId="002828E6" w:rsidR="000E7598" w:rsidRPr="00213506" w:rsidRDefault="000E7598" w:rsidP="00933F60">
            <w:pPr>
              <w:spacing w:before="120" w:after="120"/>
              <w:jc w:val="center"/>
              <w:rPr>
                <w:rStyle w:val="Hyperlink"/>
                <w:color w:val="000000" w:themeColor="text1"/>
                <w:u w:val="none"/>
              </w:rPr>
            </w:pPr>
            <w:r>
              <w:rPr>
                <w:rStyle w:val="Hyperlink"/>
                <w:color w:val="000000" w:themeColor="text1"/>
                <w:u w:val="none"/>
              </w:rPr>
              <w:t>(</w:t>
            </w:r>
            <w:r w:rsidRPr="00213506">
              <w:rPr>
                <w:rStyle w:val="Hyperlink"/>
                <w:color w:val="000000" w:themeColor="text1"/>
                <w:u w:val="none"/>
              </w:rPr>
              <w:t>Volume of cuboids</w:t>
            </w:r>
            <w:r>
              <w:rPr>
                <w:rStyle w:val="Hyperlink"/>
                <w:color w:val="000000" w:themeColor="text1"/>
                <w:u w:val="none"/>
              </w:rPr>
              <w:t>)</w:t>
            </w:r>
          </w:p>
          <w:p w14:paraId="1A3C568E" w14:textId="23F89CE8" w:rsidR="000E7598" w:rsidRDefault="000E7598" w:rsidP="00933F60">
            <w:pPr>
              <w:spacing w:before="120" w:after="120"/>
              <w:jc w:val="center"/>
            </w:pPr>
          </w:p>
        </w:tc>
        <w:tc>
          <w:tcPr>
            <w:tcW w:w="3567" w:type="dxa"/>
            <w:vMerge w:val="restart"/>
          </w:tcPr>
          <w:p w14:paraId="5B50F173" w14:textId="2E2509B4" w:rsidR="000E7598" w:rsidRPr="00213506" w:rsidRDefault="000E7598" w:rsidP="00933F60">
            <w:pPr>
              <w:spacing w:before="120" w:after="120"/>
              <w:jc w:val="center"/>
              <w:rPr>
                <w:rStyle w:val="Hyperlink"/>
              </w:rPr>
            </w:pPr>
            <w:hyperlink r:id="rId17" w:history="1">
              <w:r w:rsidRPr="00213506">
                <w:rPr>
                  <w:rStyle w:val="Hyperlink"/>
                </w:rPr>
                <w:t>Paint I</w:t>
              </w:r>
              <w:r>
                <w:rPr>
                  <w:rStyle w:val="Hyperlink"/>
                </w:rPr>
                <w:t>t!</w:t>
              </w:r>
            </w:hyperlink>
          </w:p>
          <w:p w14:paraId="17D149D9" w14:textId="2E68F0BD" w:rsidR="000E7598" w:rsidRDefault="000E7598" w:rsidP="00933F60">
            <w:pPr>
              <w:spacing w:before="120" w:after="120"/>
              <w:jc w:val="center"/>
            </w:pPr>
            <w:r>
              <w:t>(</w:t>
            </w:r>
            <w:r w:rsidRPr="00213506">
              <w:t>Measuring capacity</w:t>
            </w:r>
            <w:r>
              <w:t>)</w:t>
            </w:r>
          </w:p>
        </w:tc>
      </w:tr>
      <w:tr w:rsidR="000E7598" w14:paraId="12B38463" w14:textId="77777777" w:rsidTr="00080626">
        <w:trPr>
          <w:trHeight w:val="659"/>
        </w:trPr>
        <w:tc>
          <w:tcPr>
            <w:tcW w:w="3566" w:type="dxa"/>
            <w:vMerge/>
            <w:shd w:val="clear" w:color="auto" w:fill="auto"/>
          </w:tcPr>
          <w:p w14:paraId="6CCE0654" w14:textId="5F743384" w:rsidR="000E7598" w:rsidRDefault="000E7598" w:rsidP="00933F60">
            <w:pPr>
              <w:spacing w:before="120" w:after="120"/>
              <w:jc w:val="center"/>
            </w:pPr>
          </w:p>
        </w:tc>
        <w:tc>
          <w:tcPr>
            <w:tcW w:w="3567" w:type="dxa"/>
            <w:vMerge/>
            <w:shd w:val="clear" w:color="auto" w:fill="auto"/>
          </w:tcPr>
          <w:p w14:paraId="36D5C76B" w14:textId="77777777" w:rsidR="000E7598" w:rsidRDefault="000E7598" w:rsidP="00933F60">
            <w:pPr>
              <w:spacing w:before="120" w:after="120"/>
              <w:jc w:val="center"/>
            </w:pPr>
          </w:p>
        </w:tc>
        <w:tc>
          <w:tcPr>
            <w:tcW w:w="3566" w:type="dxa"/>
            <w:vMerge/>
          </w:tcPr>
          <w:p w14:paraId="425013EF" w14:textId="1FA5414E" w:rsidR="000E7598" w:rsidRDefault="000E7598" w:rsidP="00933F60">
            <w:pPr>
              <w:spacing w:before="120" w:after="120"/>
              <w:jc w:val="center"/>
            </w:pPr>
          </w:p>
        </w:tc>
        <w:tc>
          <w:tcPr>
            <w:tcW w:w="3567" w:type="dxa"/>
            <w:vMerge/>
          </w:tcPr>
          <w:p w14:paraId="15199D48" w14:textId="0245A95F" w:rsidR="000E7598" w:rsidRDefault="000E7598" w:rsidP="00933F60">
            <w:pPr>
              <w:spacing w:before="120" w:after="120"/>
              <w:jc w:val="center"/>
            </w:pPr>
          </w:p>
        </w:tc>
      </w:tr>
      <w:tr w:rsidR="000E7598" w14:paraId="7A7A496E" w14:textId="77777777" w:rsidTr="00080626">
        <w:trPr>
          <w:trHeight w:val="640"/>
        </w:trPr>
        <w:tc>
          <w:tcPr>
            <w:tcW w:w="3566" w:type="dxa"/>
            <w:vMerge w:val="restart"/>
            <w:shd w:val="clear" w:color="auto" w:fill="auto"/>
          </w:tcPr>
          <w:p w14:paraId="11B4B4B7" w14:textId="1F0C5347" w:rsidR="000E7598" w:rsidRDefault="000E7598" w:rsidP="00933F60">
            <w:pPr>
              <w:spacing w:before="120" w:after="120"/>
              <w:jc w:val="center"/>
            </w:pPr>
            <w:hyperlink r:id="rId18" w:history="1">
              <w:r w:rsidRPr="00E21CBB">
                <w:rPr>
                  <w:rStyle w:val="Hyperlink"/>
                </w:rPr>
                <w:t>Addition and Subtraction with whole numbers</w:t>
              </w:r>
            </w:hyperlink>
          </w:p>
          <w:p w14:paraId="3FCC7359" w14:textId="14BA4AAE" w:rsidR="000E7598" w:rsidRDefault="000E7598" w:rsidP="00933F60">
            <w:pPr>
              <w:spacing w:before="120" w:after="120"/>
              <w:jc w:val="center"/>
            </w:pPr>
            <w:r>
              <w:t>(Addition and Subtraction)</w:t>
            </w:r>
          </w:p>
        </w:tc>
        <w:tc>
          <w:tcPr>
            <w:tcW w:w="3567" w:type="dxa"/>
            <w:vMerge w:val="restart"/>
            <w:shd w:val="clear" w:color="auto" w:fill="auto"/>
          </w:tcPr>
          <w:p w14:paraId="53FE0F17" w14:textId="0B7C9C00" w:rsidR="000E7598" w:rsidRPr="00213506" w:rsidRDefault="000E7598" w:rsidP="00933F60">
            <w:pPr>
              <w:spacing w:before="120" w:after="120"/>
              <w:jc w:val="center"/>
              <w:rPr>
                <w:rStyle w:val="Hyperlink"/>
              </w:rPr>
            </w:pPr>
            <w:hyperlink r:id="rId19" w:history="1">
              <w:r w:rsidRPr="00213506">
                <w:rPr>
                  <w:rStyle w:val="Hyperlink"/>
                </w:rPr>
                <w:t>Matchstick Patterns</w:t>
              </w:r>
            </w:hyperlink>
            <w:r w:rsidRPr="00213506">
              <w:rPr>
                <w:rStyle w:val="Hyperlink"/>
              </w:rPr>
              <w:t xml:space="preserve"> </w:t>
            </w:r>
          </w:p>
          <w:p w14:paraId="217206AF" w14:textId="2A545406" w:rsidR="000E7598" w:rsidRDefault="000E7598" w:rsidP="00933F60">
            <w:pPr>
              <w:spacing w:before="120" w:after="120"/>
              <w:jc w:val="center"/>
            </w:pPr>
            <w:r>
              <w:rPr>
                <w:rStyle w:val="Hyperlink"/>
                <w:color w:val="000000" w:themeColor="text1"/>
                <w:u w:val="none"/>
              </w:rPr>
              <w:t>(</w:t>
            </w:r>
            <w:r w:rsidRPr="00213506">
              <w:rPr>
                <w:rStyle w:val="Hyperlink"/>
                <w:color w:val="000000" w:themeColor="text1"/>
                <w:u w:val="none"/>
              </w:rPr>
              <w:t>Patterns and relationships)</w:t>
            </w:r>
          </w:p>
        </w:tc>
        <w:tc>
          <w:tcPr>
            <w:tcW w:w="3566" w:type="dxa"/>
            <w:vMerge w:val="restart"/>
          </w:tcPr>
          <w:p w14:paraId="75792562" w14:textId="2E8AFC2D" w:rsidR="000E7598" w:rsidRPr="00213506" w:rsidRDefault="000E7598" w:rsidP="00933F60">
            <w:pPr>
              <w:spacing w:before="120" w:after="120"/>
              <w:jc w:val="center"/>
            </w:pPr>
            <w:hyperlink r:id="rId20" w:history="1">
              <w:r w:rsidRPr="00213506">
                <w:rPr>
                  <w:rStyle w:val="Hyperlink"/>
                </w:rPr>
                <w:t>Food for thought- Using equations</w:t>
              </w:r>
            </w:hyperlink>
          </w:p>
          <w:p w14:paraId="2E7729E3" w14:textId="18A6C488" w:rsidR="000E7598" w:rsidRDefault="000E7598" w:rsidP="00933F60">
            <w:pPr>
              <w:spacing w:before="120" w:after="120"/>
              <w:jc w:val="center"/>
            </w:pPr>
            <w:r>
              <w:t>(</w:t>
            </w:r>
            <w:r w:rsidRPr="00213506">
              <w:t xml:space="preserve">Representing </w:t>
            </w:r>
            <w:r>
              <w:t>+, -, x, ÷</w:t>
            </w:r>
            <w:r w:rsidRPr="00213506">
              <w:t xml:space="preserve"> with equations</w:t>
            </w:r>
            <w:r>
              <w:t>)</w:t>
            </w:r>
          </w:p>
        </w:tc>
        <w:tc>
          <w:tcPr>
            <w:tcW w:w="3567" w:type="dxa"/>
            <w:vMerge w:val="restart"/>
          </w:tcPr>
          <w:p w14:paraId="03E850D3" w14:textId="43215B98" w:rsidR="000E7598" w:rsidRPr="00213506" w:rsidRDefault="000E7598" w:rsidP="00933F60">
            <w:pPr>
              <w:spacing w:before="120" w:after="120"/>
              <w:jc w:val="center"/>
              <w:rPr>
                <w:rStyle w:val="Hyperlink"/>
              </w:rPr>
            </w:pPr>
            <w:hyperlink r:id="rId21" w:history="1">
              <w:r w:rsidRPr="00213506">
                <w:rPr>
                  <w:rStyle w:val="Hyperlink"/>
                </w:rPr>
                <w:t>Dare to compare</w:t>
              </w:r>
            </w:hyperlink>
          </w:p>
          <w:p w14:paraId="2C8EB9CA" w14:textId="1B65E0AC" w:rsidR="000E7598" w:rsidRDefault="000E7598" w:rsidP="00933F60">
            <w:pPr>
              <w:spacing w:before="120" w:after="120"/>
              <w:jc w:val="center"/>
            </w:pPr>
            <w:r>
              <w:t>(</w:t>
            </w:r>
            <w:r w:rsidRPr="00213506">
              <w:t>Multiplication and division using scaling</w:t>
            </w:r>
            <w:r>
              <w:t>)</w:t>
            </w:r>
          </w:p>
        </w:tc>
      </w:tr>
      <w:tr w:rsidR="000E7598" w14:paraId="05662A50" w14:textId="77777777" w:rsidTr="00080626">
        <w:trPr>
          <w:trHeight w:val="659"/>
        </w:trPr>
        <w:tc>
          <w:tcPr>
            <w:tcW w:w="3566" w:type="dxa"/>
            <w:vMerge/>
          </w:tcPr>
          <w:p w14:paraId="3BFA3286" w14:textId="77777777" w:rsidR="000E7598" w:rsidRDefault="000E7598" w:rsidP="00933F60">
            <w:pPr>
              <w:spacing w:before="120" w:after="120"/>
              <w:jc w:val="center"/>
            </w:pPr>
          </w:p>
        </w:tc>
        <w:tc>
          <w:tcPr>
            <w:tcW w:w="3567" w:type="dxa"/>
            <w:vMerge/>
            <w:shd w:val="clear" w:color="auto" w:fill="auto"/>
          </w:tcPr>
          <w:p w14:paraId="08710B43" w14:textId="77777777" w:rsidR="000E7598" w:rsidRDefault="000E7598" w:rsidP="00933F60">
            <w:pPr>
              <w:spacing w:before="120" w:after="120"/>
              <w:jc w:val="center"/>
            </w:pPr>
          </w:p>
        </w:tc>
        <w:tc>
          <w:tcPr>
            <w:tcW w:w="3566" w:type="dxa"/>
            <w:vMerge/>
          </w:tcPr>
          <w:p w14:paraId="73C9AEE0" w14:textId="7B43D4CA" w:rsidR="000E7598" w:rsidRDefault="000E7598" w:rsidP="00933F60">
            <w:pPr>
              <w:spacing w:before="120" w:after="120"/>
              <w:jc w:val="center"/>
            </w:pPr>
          </w:p>
        </w:tc>
        <w:tc>
          <w:tcPr>
            <w:tcW w:w="3567" w:type="dxa"/>
            <w:vMerge/>
          </w:tcPr>
          <w:p w14:paraId="1B46C7A8" w14:textId="3D737513" w:rsidR="000E7598" w:rsidRDefault="000E7598" w:rsidP="00933F60">
            <w:pPr>
              <w:spacing w:before="120" w:after="120"/>
              <w:jc w:val="center"/>
            </w:pPr>
          </w:p>
        </w:tc>
      </w:tr>
      <w:tr w:rsidR="000E7598" w14:paraId="3764FC79" w14:textId="77777777" w:rsidTr="00080626">
        <w:trPr>
          <w:trHeight w:val="640"/>
        </w:trPr>
        <w:tc>
          <w:tcPr>
            <w:tcW w:w="3566" w:type="dxa"/>
            <w:vMerge w:val="restart"/>
          </w:tcPr>
          <w:p w14:paraId="342D75C3" w14:textId="0A21DD18" w:rsidR="000E7598" w:rsidRPr="00213506" w:rsidRDefault="000E7598" w:rsidP="00933F60">
            <w:pPr>
              <w:spacing w:before="120" w:after="120"/>
              <w:jc w:val="center"/>
              <w:rPr>
                <w:rStyle w:val="Hyperlink"/>
              </w:rPr>
            </w:pPr>
            <w:hyperlink r:id="rId22" w:history="1">
              <w:r w:rsidRPr="00213506">
                <w:rPr>
                  <w:rStyle w:val="Hyperlink"/>
                </w:rPr>
                <w:t>Combos</w:t>
              </w:r>
            </w:hyperlink>
          </w:p>
          <w:p w14:paraId="1CC311B2" w14:textId="49CFA251" w:rsidR="000E7598" w:rsidRDefault="000E7598" w:rsidP="00933F60">
            <w:pPr>
              <w:spacing w:before="120" w:after="120"/>
              <w:jc w:val="center"/>
            </w:pPr>
            <w:r>
              <w:rPr>
                <w:rStyle w:val="Hyperlink"/>
                <w:color w:val="000000" w:themeColor="text1"/>
                <w:u w:val="none"/>
              </w:rPr>
              <w:t>(</w:t>
            </w:r>
            <w:r w:rsidRPr="00213506">
              <w:rPr>
                <w:rStyle w:val="Hyperlink"/>
                <w:color w:val="000000" w:themeColor="text1"/>
                <w:u w:val="none"/>
              </w:rPr>
              <w:t>Probability, multiplication</w:t>
            </w:r>
            <w:r>
              <w:rPr>
                <w:rStyle w:val="Hyperlink"/>
                <w:color w:val="000000" w:themeColor="text1"/>
                <w:u w:val="none"/>
              </w:rPr>
              <w:t>)</w:t>
            </w:r>
          </w:p>
        </w:tc>
        <w:tc>
          <w:tcPr>
            <w:tcW w:w="3567" w:type="dxa"/>
            <w:vMerge w:val="restart"/>
            <w:shd w:val="clear" w:color="auto" w:fill="auto"/>
          </w:tcPr>
          <w:p w14:paraId="5233C5B2" w14:textId="286B5557" w:rsidR="000E7598" w:rsidRPr="00213506" w:rsidRDefault="000E7598" w:rsidP="00933F60">
            <w:pPr>
              <w:spacing w:before="120" w:after="120"/>
              <w:jc w:val="center"/>
              <w:rPr>
                <w:rStyle w:val="Hyperlink"/>
              </w:rPr>
            </w:pPr>
            <w:hyperlink r:id="rId23" w:history="1">
              <w:r w:rsidRPr="00213506">
                <w:rPr>
                  <w:rStyle w:val="Hyperlink"/>
                </w:rPr>
                <w:t>Symbols and sets</w:t>
              </w:r>
            </w:hyperlink>
          </w:p>
          <w:p w14:paraId="028AA1E6" w14:textId="3D92E49A" w:rsidR="000E7598" w:rsidRPr="005B33B0" w:rsidRDefault="000E7598" w:rsidP="00933F60">
            <w:pPr>
              <w:spacing w:before="120" w:after="120"/>
              <w:jc w:val="center"/>
            </w:pPr>
            <w:r>
              <w:t>(</w:t>
            </w:r>
            <w:r w:rsidRPr="00213506">
              <w:t>Fractions of sets, using fraction symbols</w:t>
            </w:r>
            <w:r>
              <w:t>)</w:t>
            </w:r>
          </w:p>
        </w:tc>
        <w:tc>
          <w:tcPr>
            <w:tcW w:w="3566" w:type="dxa"/>
            <w:vMerge w:val="restart"/>
          </w:tcPr>
          <w:p w14:paraId="092B4D38" w14:textId="30DEA06C" w:rsidR="000E7598" w:rsidRPr="00213506" w:rsidRDefault="000E7598" w:rsidP="00933F60">
            <w:pPr>
              <w:spacing w:before="120" w:after="120"/>
              <w:jc w:val="center"/>
              <w:rPr>
                <w:rStyle w:val="Hyperlink"/>
              </w:rPr>
            </w:pPr>
            <w:hyperlink r:id="rId24" w:history="1">
              <w:r w:rsidRPr="00213506">
                <w:rPr>
                  <w:rStyle w:val="Hyperlink"/>
                </w:rPr>
                <w:t>Logo Licenses</w:t>
              </w:r>
            </w:hyperlink>
          </w:p>
          <w:p w14:paraId="1B71ABEE" w14:textId="4758C65B" w:rsidR="000E7598" w:rsidRDefault="000E7598" w:rsidP="00933F60">
            <w:pPr>
              <w:spacing w:before="120" w:after="120"/>
              <w:jc w:val="center"/>
            </w:pPr>
            <w:r>
              <w:t>(</w:t>
            </w:r>
            <w:r w:rsidRPr="00213506">
              <w:t>Symmetry</w:t>
            </w:r>
            <w:r>
              <w:t>)</w:t>
            </w:r>
          </w:p>
        </w:tc>
        <w:tc>
          <w:tcPr>
            <w:tcW w:w="3567" w:type="dxa"/>
            <w:vMerge w:val="restart"/>
          </w:tcPr>
          <w:p w14:paraId="2D9269F4" w14:textId="27902A87" w:rsidR="000E7598" w:rsidRPr="00213506" w:rsidRDefault="000E7598" w:rsidP="00933F60">
            <w:pPr>
              <w:spacing w:before="120" w:after="120"/>
              <w:jc w:val="center"/>
              <w:rPr>
                <w:rStyle w:val="Hyperlink"/>
              </w:rPr>
            </w:pPr>
            <w:hyperlink r:id="rId25" w:history="1">
              <w:r w:rsidRPr="00213506">
                <w:rPr>
                  <w:rStyle w:val="Hyperlink"/>
                </w:rPr>
                <w:t>Perspective on Picasso</w:t>
              </w:r>
            </w:hyperlink>
          </w:p>
          <w:p w14:paraId="72DD85DA" w14:textId="27163E6F" w:rsidR="000E7598" w:rsidRDefault="000E7598" w:rsidP="00933F60">
            <w:pPr>
              <w:spacing w:before="120" w:after="120"/>
              <w:jc w:val="center"/>
            </w:pPr>
            <w:r>
              <w:t>(</w:t>
            </w:r>
            <w:r w:rsidRPr="00213506">
              <w:t>Properties of 2D shapes, drawing 3D shapes</w:t>
            </w:r>
            <w:r>
              <w:t>)</w:t>
            </w:r>
          </w:p>
        </w:tc>
      </w:tr>
      <w:tr w:rsidR="000E7598" w14:paraId="05D54E5D" w14:textId="77777777" w:rsidTr="00080626">
        <w:trPr>
          <w:trHeight w:val="659"/>
        </w:trPr>
        <w:tc>
          <w:tcPr>
            <w:tcW w:w="3566" w:type="dxa"/>
            <w:vMerge/>
          </w:tcPr>
          <w:p w14:paraId="1ED670DA" w14:textId="77777777" w:rsidR="000E7598" w:rsidRDefault="000E7598" w:rsidP="002210B4">
            <w:pPr>
              <w:spacing w:before="120" w:after="120"/>
              <w:jc w:val="center"/>
            </w:pPr>
          </w:p>
        </w:tc>
        <w:tc>
          <w:tcPr>
            <w:tcW w:w="3567" w:type="dxa"/>
            <w:vMerge/>
            <w:shd w:val="clear" w:color="auto" w:fill="auto"/>
          </w:tcPr>
          <w:p w14:paraId="23B429CC" w14:textId="77777777" w:rsidR="000E7598" w:rsidRDefault="000E7598" w:rsidP="002210B4">
            <w:pPr>
              <w:spacing w:before="120" w:after="120"/>
              <w:jc w:val="center"/>
            </w:pPr>
          </w:p>
        </w:tc>
        <w:tc>
          <w:tcPr>
            <w:tcW w:w="3566" w:type="dxa"/>
            <w:vMerge/>
          </w:tcPr>
          <w:p w14:paraId="51B43F57" w14:textId="77777777" w:rsidR="000E7598" w:rsidRDefault="000E7598" w:rsidP="002210B4">
            <w:pPr>
              <w:spacing w:before="120" w:after="120"/>
              <w:jc w:val="center"/>
            </w:pPr>
          </w:p>
        </w:tc>
        <w:tc>
          <w:tcPr>
            <w:tcW w:w="3567" w:type="dxa"/>
            <w:vMerge/>
          </w:tcPr>
          <w:p w14:paraId="0AEECA58" w14:textId="77777777" w:rsidR="000E7598" w:rsidRDefault="000E7598" w:rsidP="002210B4">
            <w:pPr>
              <w:spacing w:before="120" w:after="120"/>
              <w:jc w:val="center"/>
            </w:pPr>
          </w:p>
        </w:tc>
      </w:tr>
    </w:tbl>
    <w:p w14:paraId="2F5441BF" w14:textId="5D9F7EE9" w:rsidR="00BD046C" w:rsidRDefault="00BD046C" w:rsidP="00010012">
      <w:pPr>
        <w:pStyle w:val="Heading2"/>
      </w:pPr>
    </w:p>
    <w:p w14:paraId="4AD49FB0" w14:textId="7FBA2022" w:rsidR="00BE7208" w:rsidRPr="00BE7208" w:rsidRDefault="00BE7208" w:rsidP="00BE7208">
      <w:bookmarkStart w:id="1" w:name="_Hlk59025824"/>
      <w:r>
        <w:t xml:space="preserve">This plan is a starting point for planning a mathematics and statistics teaching programme for a year. The resources listed cover about 50% of your teaching time. They provide broad coverage of the content of the strands of the NZC and the aspects of the LPF. Further resources need to be added to meet the specific learning needs of your class, to support your local curriculum and to provide </w:t>
      </w:r>
      <w:proofErr w:type="gramStart"/>
      <w:r>
        <w:t>sufficient</w:t>
      </w:r>
      <w:proofErr w:type="gramEnd"/>
      <w:r>
        <w:t xml:space="preserve"> teaching for a full year.</w:t>
      </w:r>
      <w:bookmarkEnd w:id="1"/>
    </w:p>
    <w:sectPr w:rsidR="00BE7208" w:rsidRPr="00BE7208" w:rsidSect="00010012">
      <w:headerReference w:type="default" r:id="rId26"/>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A099" w14:textId="77777777" w:rsidR="006B2E8F" w:rsidRDefault="006B2E8F" w:rsidP="00BE7208">
      <w:pPr>
        <w:spacing w:after="0" w:line="240" w:lineRule="auto"/>
      </w:pPr>
      <w:r>
        <w:separator/>
      </w:r>
    </w:p>
  </w:endnote>
  <w:endnote w:type="continuationSeparator" w:id="0">
    <w:p w14:paraId="61D208EE" w14:textId="77777777" w:rsidR="006B2E8F" w:rsidRDefault="006B2E8F" w:rsidP="00BE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F180" w14:textId="1E35E2CE" w:rsidR="00BE7208" w:rsidRDefault="00BE7208">
    <w:pPr>
      <w:pStyle w:val="Footer"/>
    </w:pPr>
    <w:r>
      <w:rPr>
        <w:color w:val="A6A6A6" w:themeColor="background1" w:themeShade="A6"/>
      </w:rPr>
      <w:t xml:space="preserve">Available from </w:t>
    </w:r>
    <w:hyperlink r:id="rId1" w:history="1">
      <w:r>
        <w:rPr>
          <w:rStyle w:val="Hyperlink"/>
          <w:color w:val="A6A6A6" w:themeColor="background1" w:themeShade="A6"/>
        </w:rPr>
        <w:t>https://nzmaths.co.nz/long-term-plans</w:t>
      </w:r>
    </w:hyperlink>
    <w:r>
      <w:rPr>
        <w:color w:val="A6A6A6" w:themeColor="background1" w:themeShade="A6"/>
      </w:rPr>
      <w:t>. All linked resources on nzmaths.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CC01" w14:textId="77777777" w:rsidR="006B2E8F" w:rsidRDefault="006B2E8F" w:rsidP="00BE7208">
      <w:pPr>
        <w:spacing w:after="0" w:line="240" w:lineRule="auto"/>
      </w:pPr>
      <w:r>
        <w:separator/>
      </w:r>
    </w:p>
  </w:footnote>
  <w:footnote w:type="continuationSeparator" w:id="0">
    <w:p w14:paraId="74923AA6" w14:textId="77777777" w:rsidR="006B2E8F" w:rsidRDefault="006B2E8F" w:rsidP="00BE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B87F" w14:textId="2F767B4D" w:rsidR="00BE7208" w:rsidRPr="00BE7208" w:rsidRDefault="00BE7208" w:rsidP="00BE7208">
    <w:pPr>
      <w:pStyle w:val="Header"/>
      <w:jc w:val="right"/>
    </w:pPr>
    <w:r>
      <w:rPr>
        <w:noProof/>
      </w:rPr>
      <w:drawing>
        <wp:anchor distT="0" distB="0" distL="114300" distR="114300" simplePos="0" relativeHeight="251658240" behindDoc="0" locked="0" layoutInCell="1" allowOverlap="1" wp14:anchorId="6F651701" wp14:editId="350A7AAD">
          <wp:simplePos x="0" y="0"/>
          <wp:positionH relativeFrom="column">
            <wp:posOffset>7599872</wp:posOffset>
          </wp:positionH>
          <wp:positionV relativeFrom="paragraph">
            <wp:posOffset>-1006</wp:posOffset>
          </wp:positionV>
          <wp:extent cx="2175510" cy="52197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F30"/>
    <w:multiLevelType w:val="hybridMultilevel"/>
    <w:tmpl w:val="F244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F5197"/>
    <w:multiLevelType w:val="multilevel"/>
    <w:tmpl w:val="A85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C65AB"/>
    <w:multiLevelType w:val="multilevel"/>
    <w:tmpl w:val="3B1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F4A2A"/>
    <w:multiLevelType w:val="multilevel"/>
    <w:tmpl w:val="02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C101B"/>
    <w:multiLevelType w:val="multilevel"/>
    <w:tmpl w:val="32C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E48E2"/>
    <w:multiLevelType w:val="hybridMultilevel"/>
    <w:tmpl w:val="A2AACD6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6" w15:restartNumberingAfterBreak="0">
    <w:nsid w:val="3711575D"/>
    <w:multiLevelType w:val="multilevel"/>
    <w:tmpl w:val="AA1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80C0B"/>
    <w:multiLevelType w:val="multilevel"/>
    <w:tmpl w:val="7F3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F75DA"/>
    <w:multiLevelType w:val="multilevel"/>
    <w:tmpl w:val="0C8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6470F"/>
    <w:multiLevelType w:val="multilevel"/>
    <w:tmpl w:val="9D3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11C09"/>
    <w:multiLevelType w:val="hybridMultilevel"/>
    <w:tmpl w:val="896C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CB434F"/>
    <w:multiLevelType w:val="hybridMultilevel"/>
    <w:tmpl w:val="0D52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82E81"/>
    <w:multiLevelType w:val="multilevel"/>
    <w:tmpl w:val="8FD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4376"/>
    <w:multiLevelType w:val="multilevel"/>
    <w:tmpl w:val="703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33B4D"/>
    <w:multiLevelType w:val="multilevel"/>
    <w:tmpl w:val="62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96E1A"/>
    <w:multiLevelType w:val="multilevel"/>
    <w:tmpl w:val="764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43575"/>
    <w:multiLevelType w:val="hybridMultilevel"/>
    <w:tmpl w:val="D168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32384D"/>
    <w:multiLevelType w:val="multilevel"/>
    <w:tmpl w:val="661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1653F"/>
    <w:multiLevelType w:val="multilevel"/>
    <w:tmpl w:val="FF5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34ECA"/>
    <w:multiLevelType w:val="hybridMultilevel"/>
    <w:tmpl w:val="C0D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710EC8"/>
    <w:multiLevelType w:val="multilevel"/>
    <w:tmpl w:val="8BA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8C49BC"/>
    <w:multiLevelType w:val="multilevel"/>
    <w:tmpl w:val="03F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1"/>
  </w:num>
  <w:num w:numId="3">
    <w:abstractNumId w:val="0"/>
  </w:num>
  <w:num w:numId="4">
    <w:abstractNumId w:val="10"/>
  </w:num>
  <w:num w:numId="5">
    <w:abstractNumId w:val="16"/>
  </w:num>
  <w:num w:numId="6">
    <w:abstractNumId w:val="21"/>
  </w:num>
  <w:num w:numId="7">
    <w:abstractNumId w:val="14"/>
  </w:num>
  <w:num w:numId="8">
    <w:abstractNumId w:val="1"/>
  </w:num>
  <w:num w:numId="9">
    <w:abstractNumId w:val="2"/>
  </w:num>
  <w:num w:numId="10">
    <w:abstractNumId w:val="12"/>
  </w:num>
  <w:num w:numId="11">
    <w:abstractNumId w:val="18"/>
  </w:num>
  <w:num w:numId="12">
    <w:abstractNumId w:val="20"/>
  </w:num>
  <w:num w:numId="13">
    <w:abstractNumId w:val="7"/>
  </w:num>
  <w:num w:numId="14">
    <w:abstractNumId w:val="15"/>
  </w:num>
  <w:num w:numId="15">
    <w:abstractNumId w:val="13"/>
  </w:num>
  <w:num w:numId="16">
    <w:abstractNumId w:val="4"/>
  </w:num>
  <w:num w:numId="17">
    <w:abstractNumId w:val="6"/>
  </w:num>
  <w:num w:numId="18">
    <w:abstractNumId w:val="9"/>
  </w:num>
  <w:num w:numId="19">
    <w:abstractNumId w:val="17"/>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0012"/>
    <w:rsid w:val="00014E1A"/>
    <w:rsid w:val="00016C51"/>
    <w:rsid w:val="0003177C"/>
    <w:rsid w:val="00080626"/>
    <w:rsid w:val="000A6A28"/>
    <w:rsid w:val="000E7598"/>
    <w:rsid w:val="00136112"/>
    <w:rsid w:val="001B0A5D"/>
    <w:rsid w:val="001D77D7"/>
    <w:rsid w:val="002210B4"/>
    <w:rsid w:val="00223E4C"/>
    <w:rsid w:val="002870C8"/>
    <w:rsid w:val="00292319"/>
    <w:rsid w:val="0035227E"/>
    <w:rsid w:val="003E2AF4"/>
    <w:rsid w:val="004114F3"/>
    <w:rsid w:val="00431276"/>
    <w:rsid w:val="00487FCF"/>
    <w:rsid w:val="00497EED"/>
    <w:rsid w:val="004B4544"/>
    <w:rsid w:val="00567C7D"/>
    <w:rsid w:val="005B33B0"/>
    <w:rsid w:val="0062232A"/>
    <w:rsid w:val="006B1D11"/>
    <w:rsid w:val="006B2E8F"/>
    <w:rsid w:val="006C3124"/>
    <w:rsid w:val="006C563F"/>
    <w:rsid w:val="006D428D"/>
    <w:rsid w:val="006E398E"/>
    <w:rsid w:val="00722F53"/>
    <w:rsid w:val="00757FF0"/>
    <w:rsid w:val="0077202E"/>
    <w:rsid w:val="008304C1"/>
    <w:rsid w:val="00830D74"/>
    <w:rsid w:val="00845A02"/>
    <w:rsid w:val="008B5DBB"/>
    <w:rsid w:val="008C519F"/>
    <w:rsid w:val="008E0F23"/>
    <w:rsid w:val="0090706B"/>
    <w:rsid w:val="00933F60"/>
    <w:rsid w:val="009345BC"/>
    <w:rsid w:val="009554C4"/>
    <w:rsid w:val="00A03985"/>
    <w:rsid w:val="00A356C0"/>
    <w:rsid w:val="00AF79E2"/>
    <w:rsid w:val="00B815B5"/>
    <w:rsid w:val="00B91F4B"/>
    <w:rsid w:val="00BD046C"/>
    <w:rsid w:val="00BD17ED"/>
    <w:rsid w:val="00BE1736"/>
    <w:rsid w:val="00BE7208"/>
    <w:rsid w:val="00C2559E"/>
    <w:rsid w:val="00C45D3B"/>
    <w:rsid w:val="00C8712A"/>
    <w:rsid w:val="00CD210E"/>
    <w:rsid w:val="00D30517"/>
    <w:rsid w:val="00D37269"/>
    <w:rsid w:val="00D83645"/>
    <w:rsid w:val="00D9217E"/>
    <w:rsid w:val="00DA0368"/>
    <w:rsid w:val="00DB2B3E"/>
    <w:rsid w:val="00E125EF"/>
    <w:rsid w:val="00E21CBB"/>
    <w:rsid w:val="00E276A4"/>
    <w:rsid w:val="00E477B1"/>
    <w:rsid w:val="00E514A5"/>
    <w:rsid w:val="00EA7CBD"/>
    <w:rsid w:val="00EB05CE"/>
    <w:rsid w:val="00EB3F5C"/>
    <w:rsid w:val="00EC4F4F"/>
    <w:rsid w:val="00EF5E54"/>
    <w:rsid w:val="00FB5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919C2"/>
  <w15:chartTrackingRefBased/>
  <w15:docId w15:val="{BE36C183-28BB-4A0B-A5DD-4B9D645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2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5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F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8E0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1F4B"/>
    <w:pPr>
      <w:ind w:left="720"/>
      <w:contextualSpacing/>
    </w:pPr>
  </w:style>
  <w:style w:type="character" w:styleId="Hyperlink">
    <w:name w:val="Hyperlink"/>
    <w:basedOn w:val="DefaultParagraphFont"/>
    <w:uiPriority w:val="99"/>
    <w:unhideWhenUsed/>
    <w:rsid w:val="00497EED"/>
    <w:rPr>
      <w:color w:val="0563C1" w:themeColor="hyperlink"/>
      <w:u w:val="single"/>
    </w:rPr>
  </w:style>
  <w:style w:type="character" w:styleId="UnresolvedMention">
    <w:name w:val="Unresolved Mention"/>
    <w:basedOn w:val="DefaultParagraphFont"/>
    <w:uiPriority w:val="99"/>
    <w:semiHidden/>
    <w:unhideWhenUsed/>
    <w:rsid w:val="00497EED"/>
    <w:rPr>
      <w:color w:val="605E5C"/>
      <w:shd w:val="clear" w:color="auto" w:fill="E1DFDD"/>
    </w:rPr>
  </w:style>
  <w:style w:type="paragraph" w:styleId="BalloonText">
    <w:name w:val="Balloon Text"/>
    <w:basedOn w:val="Normal"/>
    <w:link w:val="BalloonTextChar"/>
    <w:uiPriority w:val="99"/>
    <w:semiHidden/>
    <w:unhideWhenUsed/>
    <w:rsid w:val="008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F"/>
    <w:rPr>
      <w:rFonts w:ascii="Segoe UI" w:hAnsi="Segoe UI" w:cs="Segoe UI"/>
      <w:sz w:val="18"/>
      <w:szCs w:val="18"/>
    </w:rPr>
  </w:style>
  <w:style w:type="character" w:customStyle="1" w:styleId="Heading4Char">
    <w:name w:val="Heading 4 Char"/>
    <w:basedOn w:val="DefaultParagraphFont"/>
    <w:link w:val="Heading4"/>
    <w:uiPriority w:val="9"/>
    <w:semiHidden/>
    <w:rsid w:val="00CD210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210E"/>
    <w:rPr>
      <w:b/>
      <w:bCs/>
    </w:rPr>
  </w:style>
  <w:style w:type="character" w:styleId="FollowedHyperlink">
    <w:name w:val="FollowedHyperlink"/>
    <w:basedOn w:val="DefaultParagraphFont"/>
    <w:uiPriority w:val="99"/>
    <w:semiHidden/>
    <w:unhideWhenUsed/>
    <w:rsid w:val="00EA7CBD"/>
    <w:rPr>
      <w:color w:val="954F72" w:themeColor="followedHyperlink"/>
      <w:u w:val="single"/>
    </w:rPr>
  </w:style>
  <w:style w:type="paragraph" w:styleId="Header">
    <w:name w:val="header"/>
    <w:basedOn w:val="Normal"/>
    <w:link w:val="HeaderChar"/>
    <w:uiPriority w:val="99"/>
    <w:unhideWhenUsed/>
    <w:rsid w:val="00BE7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08"/>
  </w:style>
  <w:style w:type="paragraph" w:styleId="Footer">
    <w:name w:val="footer"/>
    <w:basedOn w:val="Normal"/>
    <w:link w:val="FooterChar"/>
    <w:uiPriority w:val="99"/>
    <w:unhideWhenUsed/>
    <w:rsid w:val="00BE7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29">
      <w:bodyDiv w:val="1"/>
      <w:marLeft w:val="0"/>
      <w:marRight w:val="0"/>
      <w:marTop w:val="0"/>
      <w:marBottom w:val="0"/>
      <w:divBdr>
        <w:top w:val="none" w:sz="0" w:space="0" w:color="auto"/>
        <w:left w:val="none" w:sz="0" w:space="0" w:color="auto"/>
        <w:bottom w:val="none" w:sz="0" w:space="0" w:color="auto"/>
        <w:right w:val="none" w:sz="0" w:space="0" w:color="auto"/>
      </w:divBdr>
    </w:div>
    <w:div w:id="500776308">
      <w:bodyDiv w:val="1"/>
      <w:marLeft w:val="0"/>
      <w:marRight w:val="0"/>
      <w:marTop w:val="0"/>
      <w:marBottom w:val="0"/>
      <w:divBdr>
        <w:top w:val="none" w:sz="0" w:space="0" w:color="auto"/>
        <w:left w:val="none" w:sz="0" w:space="0" w:color="auto"/>
        <w:bottom w:val="none" w:sz="0" w:space="0" w:color="auto"/>
        <w:right w:val="none" w:sz="0" w:space="0" w:color="auto"/>
      </w:divBdr>
    </w:div>
    <w:div w:id="570891443">
      <w:bodyDiv w:val="1"/>
      <w:marLeft w:val="0"/>
      <w:marRight w:val="0"/>
      <w:marTop w:val="0"/>
      <w:marBottom w:val="0"/>
      <w:divBdr>
        <w:top w:val="none" w:sz="0" w:space="0" w:color="auto"/>
        <w:left w:val="none" w:sz="0" w:space="0" w:color="auto"/>
        <w:bottom w:val="none" w:sz="0" w:space="0" w:color="auto"/>
        <w:right w:val="none" w:sz="0" w:space="0" w:color="auto"/>
      </w:divBdr>
    </w:div>
    <w:div w:id="654457691">
      <w:bodyDiv w:val="1"/>
      <w:marLeft w:val="0"/>
      <w:marRight w:val="0"/>
      <w:marTop w:val="0"/>
      <w:marBottom w:val="0"/>
      <w:divBdr>
        <w:top w:val="none" w:sz="0" w:space="0" w:color="auto"/>
        <w:left w:val="none" w:sz="0" w:space="0" w:color="auto"/>
        <w:bottom w:val="none" w:sz="0" w:space="0" w:color="auto"/>
        <w:right w:val="none" w:sz="0" w:space="0" w:color="auto"/>
      </w:divBdr>
    </w:div>
    <w:div w:id="1072772237">
      <w:bodyDiv w:val="1"/>
      <w:marLeft w:val="0"/>
      <w:marRight w:val="0"/>
      <w:marTop w:val="0"/>
      <w:marBottom w:val="0"/>
      <w:divBdr>
        <w:top w:val="none" w:sz="0" w:space="0" w:color="auto"/>
        <w:left w:val="none" w:sz="0" w:space="0" w:color="auto"/>
        <w:bottom w:val="none" w:sz="0" w:space="0" w:color="auto"/>
        <w:right w:val="none" w:sz="0" w:space="0" w:color="auto"/>
      </w:divBdr>
    </w:div>
    <w:div w:id="1203127169">
      <w:bodyDiv w:val="1"/>
      <w:marLeft w:val="0"/>
      <w:marRight w:val="0"/>
      <w:marTop w:val="0"/>
      <w:marBottom w:val="0"/>
      <w:divBdr>
        <w:top w:val="none" w:sz="0" w:space="0" w:color="auto"/>
        <w:left w:val="none" w:sz="0" w:space="0" w:color="auto"/>
        <w:bottom w:val="none" w:sz="0" w:space="0" w:color="auto"/>
        <w:right w:val="none" w:sz="0" w:space="0" w:color="auto"/>
      </w:divBdr>
    </w:div>
    <w:div w:id="1270116284">
      <w:bodyDiv w:val="1"/>
      <w:marLeft w:val="0"/>
      <w:marRight w:val="0"/>
      <w:marTop w:val="0"/>
      <w:marBottom w:val="0"/>
      <w:divBdr>
        <w:top w:val="none" w:sz="0" w:space="0" w:color="auto"/>
        <w:left w:val="none" w:sz="0" w:space="0" w:color="auto"/>
        <w:bottom w:val="none" w:sz="0" w:space="0" w:color="auto"/>
        <w:right w:val="none" w:sz="0" w:space="0" w:color="auto"/>
      </w:divBdr>
    </w:div>
    <w:div w:id="1281836792">
      <w:bodyDiv w:val="1"/>
      <w:marLeft w:val="0"/>
      <w:marRight w:val="0"/>
      <w:marTop w:val="0"/>
      <w:marBottom w:val="0"/>
      <w:divBdr>
        <w:top w:val="none" w:sz="0" w:space="0" w:color="auto"/>
        <w:left w:val="none" w:sz="0" w:space="0" w:color="auto"/>
        <w:bottom w:val="none" w:sz="0" w:space="0" w:color="auto"/>
        <w:right w:val="none" w:sz="0" w:space="0" w:color="auto"/>
      </w:divBdr>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474517753">
      <w:bodyDiv w:val="1"/>
      <w:marLeft w:val="0"/>
      <w:marRight w:val="0"/>
      <w:marTop w:val="0"/>
      <w:marBottom w:val="0"/>
      <w:divBdr>
        <w:top w:val="none" w:sz="0" w:space="0" w:color="auto"/>
        <w:left w:val="none" w:sz="0" w:space="0" w:color="auto"/>
        <w:bottom w:val="none" w:sz="0" w:space="0" w:color="auto"/>
        <w:right w:val="none" w:sz="0" w:space="0" w:color="auto"/>
      </w:divBdr>
    </w:div>
    <w:div w:id="1556811963">
      <w:bodyDiv w:val="1"/>
      <w:marLeft w:val="0"/>
      <w:marRight w:val="0"/>
      <w:marTop w:val="0"/>
      <w:marBottom w:val="0"/>
      <w:divBdr>
        <w:top w:val="none" w:sz="0" w:space="0" w:color="auto"/>
        <w:left w:val="none" w:sz="0" w:space="0" w:color="auto"/>
        <w:bottom w:val="none" w:sz="0" w:space="0" w:color="auto"/>
        <w:right w:val="none" w:sz="0" w:space="0" w:color="auto"/>
      </w:divBdr>
    </w:div>
    <w:div w:id="1666014868">
      <w:bodyDiv w:val="1"/>
      <w:marLeft w:val="0"/>
      <w:marRight w:val="0"/>
      <w:marTop w:val="0"/>
      <w:marBottom w:val="0"/>
      <w:divBdr>
        <w:top w:val="none" w:sz="0" w:space="0" w:color="auto"/>
        <w:left w:val="none" w:sz="0" w:space="0" w:color="auto"/>
        <w:bottom w:val="none" w:sz="0" w:space="0" w:color="auto"/>
        <w:right w:val="none" w:sz="0" w:space="0" w:color="auto"/>
      </w:divBdr>
    </w:div>
    <w:div w:id="1817719049">
      <w:bodyDiv w:val="1"/>
      <w:marLeft w:val="0"/>
      <w:marRight w:val="0"/>
      <w:marTop w:val="0"/>
      <w:marBottom w:val="0"/>
      <w:divBdr>
        <w:top w:val="none" w:sz="0" w:space="0" w:color="auto"/>
        <w:left w:val="none" w:sz="0" w:space="0" w:color="auto"/>
        <w:bottom w:val="none" w:sz="0" w:space="0" w:color="auto"/>
        <w:right w:val="none" w:sz="0" w:space="0" w:color="auto"/>
      </w:divBdr>
    </w:div>
    <w:div w:id="1838303804">
      <w:bodyDiv w:val="1"/>
      <w:marLeft w:val="0"/>
      <w:marRight w:val="0"/>
      <w:marTop w:val="0"/>
      <w:marBottom w:val="0"/>
      <w:divBdr>
        <w:top w:val="none" w:sz="0" w:space="0" w:color="auto"/>
        <w:left w:val="none" w:sz="0" w:space="0" w:color="auto"/>
        <w:bottom w:val="none" w:sz="0" w:space="0" w:color="auto"/>
        <w:right w:val="none" w:sz="0" w:space="0" w:color="auto"/>
      </w:divBdr>
    </w:div>
    <w:div w:id="1895118865">
      <w:bodyDiv w:val="1"/>
      <w:marLeft w:val="0"/>
      <w:marRight w:val="0"/>
      <w:marTop w:val="0"/>
      <w:marBottom w:val="0"/>
      <w:divBdr>
        <w:top w:val="none" w:sz="0" w:space="0" w:color="auto"/>
        <w:left w:val="none" w:sz="0" w:space="0" w:color="auto"/>
        <w:bottom w:val="none" w:sz="0" w:space="0" w:color="auto"/>
        <w:right w:val="none" w:sz="0" w:space="0" w:color="auto"/>
      </w:divBdr>
    </w:div>
    <w:div w:id="1912345440">
      <w:bodyDiv w:val="1"/>
      <w:marLeft w:val="0"/>
      <w:marRight w:val="0"/>
      <w:marTop w:val="0"/>
      <w:marBottom w:val="0"/>
      <w:divBdr>
        <w:top w:val="none" w:sz="0" w:space="0" w:color="auto"/>
        <w:left w:val="none" w:sz="0" w:space="0" w:color="auto"/>
        <w:bottom w:val="none" w:sz="0" w:space="0" w:color="auto"/>
        <w:right w:val="none" w:sz="0" w:space="0" w:color="auto"/>
      </w:divBdr>
    </w:div>
    <w:div w:id="1913928927">
      <w:bodyDiv w:val="1"/>
      <w:marLeft w:val="0"/>
      <w:marRight w:val="0"/>
      <w:marTop w:val="0"/>
      <w:marBottom w:val="0"/>
      <w:divBdr>
        <w:top w:val="none" w:sz="0" w:space="0" w:color="auto"/>
        <w:left w:val="none" w:sz="0" w:space="0" w:color="auto"/>
        <w:bottom w:val="none" w:sz="0" w:space="0" w:color="auto"/>
        <w:right w:val="none" w:sz="0" w:space="0" w:color="auto"/>
      </w:divBdr>
    </w:div>
    <w:div w:id="2071998347">
      <w:bodyDiv w:val="1"/>
      <w:marLeft w:val="0"/>
      <w:marRight w:val="0"/>
      <w:marTop w:val="0"/>
      <w:marBottom w:val="0"/>
      <w:divBdr>
        <w:top w:val="none" w:sz="0" w:space="0" w:color="auto"/>
        <w:left w:val="none" w:sz="0" w:space="0" w:color="auto"/>
        <w:bottom w:val="none" w:sz="0" w:space="0" w:color="auto"/>
        <w:right w:val="none" w:sz="0" w:space="0" w:color="auto"/>
      </w:divBdr>
    </w:div>
    <w:div w:id="2145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node/35774" TargetMode="External"/><Relationship Id="rId13" Type="http://schemas.openxmlformats.org/officeDocument/2006/relationships/hyperlink" Target="https://nzmaths.co.nz/node/38410" TargetMode="External"/><Relationship Id="rId18" Type="http://schemas.openxmlformats.org/officeDocument/2006/relationships/hyperlink" Target="https://nzmaths.co.nz/node/384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zmaths.co.nz/node/35939" TargetMode="External"/><Relationship Id="rId7" Type="http://schemas.openxmlformats.org/officeDocument/2006/relationships/endnotes" Target="endnotes.xml"/><Relationship Id="rId12" Type="http://schemas.openxmlformats.org/officeDocument/2006/relationships/hyperlink" Target="https://nzmaths.co.nz/node/26994" TargetMode="External"/><Relationship Id="rId17" Type="http://schemas.openxmlformats.org/officeDocument/2006/relationships/hyperlink" Target="https://nzmaths.co.nz/node/475" TargetMode="External"/><Relationship Id="rId25" Type="http://schemas.openxmlformats.org/officeDocument/2006/relationships/hyperlink" Target="https://nzmaths.co.nz/node/18273" TargetMode="External"/><Relationship Id="rId2" Type="http://schemas.openxmlformats.org/officeDocument/2006/relationships/numbering" Target="numbering.xml"/><Relationship Id="rId16" Type="http://schemas.openxmlformats.org/officeDocument/2006/relationships/hyperlink" Target="https://nzmaths.co.nz/node/437" TargetMode="External"/><Relationship Id="rId20" Type="http://schemas.openxmlformats.org/officeDocument/2006/relationships/hyperlink" Target="https://nzmaths.co.nz/node/379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zmaths.co.nz/node/811" TargetMode="External"/><Relationship Id="rId24" Type="http://schemas.openxmlformats.org/officeDocument/2006/relationships/hyperlink" Target="https://nzmaths.co.nz/node/182" TargetMode="External"/><Relationship Id="rId5" Type="http://schemas.openxmlformats.org/officeDocument/2006/relationships/webSettings" Target="webSettings.xml"/><Relationship Id="rId15" Type="http://schemas.openxmlformats.org/officeDocument/2006/relationships/hyperlink" Target="https://nzmaths.co.nz/node/160" TargetMode="External"/><Relationship Id="rId23" Type="http://schemas.openxmlformats.org/officeDocument/2006/relationships/hyperlink" Target="https://nzmaths.co.nz/node/16288" TargetMode="External"/><Relationship Id="rId28" Type="http://schemas.openxmlformats.org/officeDocument/2006/relationships/fontTable" Target="fontTable.xml"/><Relationship Id="rId10" Type="http://schemas.openxmlformats.org/officeDocument/2006/relationships/hyperlink" Target="https://nzmaths.co.nz/node/208" TargetMode="External"/><Relationship Id="rId19" Type="http://schemas.openxmlformats.org/officeDocument/2006/relationships/hyperlink" Target="https://nzmaths.co.nz/node/369" TargetMode="External"/><Relationship Id="rId4" Type="http://schemas.openxmlformats.org/officeDocument/2006/relationships/settings" Target="settings.xml"/><Relationship Id="rId9" Type="http://schemas.openxmlformats.org/officeDocument/2006/relationships/hyperlink" Target="https://nzmaths.co.nz/node/820" TargetMode="External"/><Relationship Id="rId14" Type="http://schemas.openxmlformats.org/officeDocument/2006/relationships/hyperlink" Target="file:///C:\Users\Vince\Documents\nzmaths\0_2019\Case%20studies\What&#8217;s%20going%20on%3f%20Properties%20of%20multiplication%20and%20division" TargetMode="External"/><Relationship Id="rId22" Type="http://schemas.openxmlformats.org/officeDocument/2006/relationships/hyperlink" Target="https://nzmaths.co.nz/node/27718"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zmaths.co.nz/long-term-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4C2A-25EF-4179-8EC3-7C4B22F1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Wright</dc:creator>
  <cp:keywords/>
  <dc:description/>
  <cp:lastModifiedBy>Andrew  Tagg</cp:lastModifiedBy>
  <cp:revision>8</cp:revision>
  <cp:lastPrinted>2020-08-24T02:10:00Z</cp:lastPrinted>
  <dcterms:created xsi:type="dcterms:W3CDTF">2020-11-13T01:35:00Z</dcterms:created>
  <dcterms:modified xsi:type="dcterms:W3CDTF">2020-12-16T02:57:00Z</dcterms:modified>
</cp:coreProperties>
</file>