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AB4E" w14:textId="6F74A7DC" w:rsidR="00612964" w:rsidRPr="00E86AA3" w:rsidRDefault="00E86AA3" w:rsidP="00612964">
      <w:pPr>
        <w:pStyle w:val="Heading1"/>
        <w:rPr>
          <w:color w:val="7E1144"/>
        </w:rPr>
      </w:pPr>
      <w:bookmarkStart w:id="0" w:name="_GoBack"/>
      <w:r>
        <w:rPr>
          <w:color w:val="7E1144"/>
        </w:rPr>
        <w:t xml:space="preserve">Full-year </w:t>
      </w:r>
      <w:r w:rsidR="00612964" w:rsidRPr="00E86AA3">
        <w:rPr>
          <w:color w:val="7E1144"/>
        </w:rPr>
        <w:t xml:space="preserve">plan: Mathematics and Statistics, </w:t>
      </w:r>
      <w:r w:rsidR="004961F9" w:rsidRPr="00E86AA3">
        <w:rPr>
          <w:color w:val="7E1144"/>
        </w:rPr>
        <w:t>late</w:t>
      </w:r>
      <w:r w:rsidR="00612964" w:rsidRPr="00E86AA3">
        <w:rPr>
          <w:color w:val="7E1144"/>
        </w:rPr>
        <w:t xml:space="preserve"> level two</w:t>
      </w:r>
    </w:p>
    <w:bookmarkEnd w:id="0"/>
    <w:p w14:paraId="4C988A4B" w14:textId="77777777" w:rsidR="00E276A4" w:rsidRPr="00E276A4" w:rsidRDefault="00E276A4" w:rsidP="00E276A4"/>
    <w:tbl>
      <w:tblPr>
        <w:tblStyle w:val="TableGrid"/>
        <w:tblW w:w="0" w:type="auto"/>
        <w:tblLook w:val="04A0" w:firstRow="1" w:lastRow="0" w:firstColumn="1" w:lastColumn="0" w:noHBand="0" w:noVBand="1"/>
      </w:tblPr>
      <w:tblGrid>
        <w:gridCol w:w="3627"/>
        <w:gridCol w:w="3628"/>
        <w:gridCol w:w="3627"/>
        <w:gridCol w:w="3628"/>
      </w:tblGrid>
      <w:tr w:rsidR="002F3528" w14:paraId="1D77BA74" w14:textId="77777777" w:rsidTr="002F3528">
        <w:trPr>
          <w:trHeight w:val="656"/>
        </w:trPr>
        <w:tc>
          <w:tcPr>
            <w:tcW w:w="3627" w:type="dxa"/>
            <w:tcBorders>
              <w:bottom w:val="single" w:sz="4" w:space="0" w:color="auto"/>
            </w:tcBorders>
          </w:tcPr>
          <w:p w14:paraId="3E44B5B9" w14:textId="3B81998C" w:rsidR="002F3528" w:rsidRPr="00B815B5" w:rsidRDefault="002F3528" w:rsidP="00E276A4">
            <w:pPr>
              <w:spacing w:before="120" w:after="120"/>
              <w:jc w:val="center"/>
              <w:rPr>
                <w:sz w:val="24"/>
                <w:szCs w:val="24"/>
              </w:rPr>
            </w:pPr>
            <w:r w:rsidRPr="00B815B5">
              <w:rPr>
                <w:sz w:val="24"/>
                <w:szCs w:val="24"/>
              </w:rPr>
              <w:t>Term One</w:t>
            </w:r>
          </w:p>
        </w:tc>
        <w:tc>
          <w:tcPr>
            <w:tcW w:w="3628" w:type="dxa"/>
            <w:tcBorders>
              <w:bottom w:val="single" w:sz="4" w:space="0" w:color="auto"/>
            </w:tcBorders>
          </w:tcPr>
          <w:p w14:paraId="6CFC5804" w14:textId="2B394005" w:rsidR="002F3528" w:rsidRPr="00B815B5" w:rsidRDefault="002F3528" w:rsidP="00E276A4">
            <w:pPr>
              <w:spacing w:before="120" w:after="120"/>
              <w:jc w:val="center"/>
              <w:rPr>
                <w:sz w:val="24"/>
                <w:szCs w:val="24"/>
              </w:rPr>
            </w:pPr>
            <w:r w:rsidRPr="00B815B5">
              <w:rPr>
                <w:sz w:val="24"/>
                <w:szCs w:val="24"/>
              </w:rPr>
              <w:t>Term Two</w:t>
            </w:r>
          </w:p>
        </w:tc>
        <w:tc>
          <w:tcPr>
            <w:tcW w:w="3627" w:type="dxa"/>
            <w:tcBorders>
              <w:bottom w:val="single" w:sz="4" w:space="0" w:color="auto"/>
            </w:tcBorders>
          </w:tcPr>
          <w:p w14:paraId="27C97B2E" w14:textId="392CAE0A" w:rsidR="002F3528" w:rsidRPr="00B815B5" w:rsidRDefault="002F3528" w:rsidP="00E276A4">
            <w:pPr>
              <w:spacing w:before="120" w:after="120"/>
              <w:jc w:val="center"/>
              <w:rPr>
                <w:sz w:val="24"/>
                <w:szCs w:val="24"/>
              </w:rPr>
            </w:pPr>
            <w:r w:rsidRPr="00B815B5">
              <w:rPr>
                <w:sz w:val="24"/>
                <w:szCs w:val="24"/>
              </w:rPr>
              <w:t>Term Three</w:t>
            </w:r>
          </w:p>
        </w:tc>
        <w:tc>
          <w:tcPr>
            <w:tcW w:w="3628" w:type="dxa"/>
            <w:tcBorders>
              <w:bottom w:val="single" w:sz="4" w:space="0" w:color="auto"/>
            </w:tcBorders>
          </w:tcPr>
          <w:p w14:paraId="77875293" w14:textId="6681F7DE" w:rsidR="002F3528" w:rsidRPr="00B815B5" w:rsidRDefault="002F3528" w:rsidP="00E276A4">
            <w:pPr>
              <w:spacing w:before="120" w:after="120"/>
              <w:jc w:val="center"/>
              <w:rPr>
                <w:sz w:val="24"/>
                <w:szCs w:val="24"/>
              </w:rPr>
            </w:pPr>
            <w:r w:rsidRPr="00B815B5">
              <w:rPr>
                <w:sz w:val="24"/>
                <w:szCs w:val="24"/>
              </w:rPr>
              <w:t>Term Four</w:t>
            </w:r>
          </w:p>
        </w:tc>
      </w:tr>
      <w:tr w:rsidR="002F3528" w14:paraId="511C068B" w14:textId="77777777" w:rsidTr="002F3528">
        <w:trPr>
          <w:trHeight w:val="482"/>
        </w:trPr>
        <w:tc>
          <w:tcPr>
            <w:tcW w:w="3627" w:type="dxa"/>
            <w:vMerge w:val="restart"/>
            <w:shd w:val="clear" w:color="auto" w:fill="auto"/>
          </w:tcPr>
          <w:p w14:paraId="16EEF511" w14:textId="64D9842C" w:rsidR="002F3528" w:rsidRDefault="002F3528" w:rsidP="002210B4">
            <w:pPr>
              <w:spacing w:before="120" w:after="120"/>
              <w:jc w:val="center"/>
            </w:pPr>
            <w:hyperlink r:id="rId8" w:history="1">
              <w:r w:rsidRPr="00C44A24">
                <w:rPr>
                  <w:rStyle w:val="Hyperlink"/>
                </w:rPr>
                <w:t>Mathematical magic</w:t>
              </w:r>
            </w:hyperlink>
          </w:p>
          <w:p w14:paraId="7011DC11" w14:textId="745E56ED" w:rsidR="002F3528" w:rsidRDefault="002F3528" w:rsidP="002210B4">
            <w:pPr>
              <w:spacing w:before="120" w:after="120"/>
              <w:jc w:val="center"/>
            </w:pPr>
            <w:r>
              <w:t>(Thematic unit)</w:t>
            </w:r>
          </w:p>
        </w:tc>
        <w:tc>
          <w:tcPr>
            <w:tcW w:w="3628" w:type="dxa"/>
            <w:vMerge w:val="restart"/>
            <w:shd w:val="clear" w:color="auto" w:fill="auto"/>
          </w:tcPr>
          <w:p w14:paraId="09D2F7CC" w14:textId="26401729" w:rsidR="002F3528" w:rsidRDefault="002F3528" w:rsidP="002210B4">
            <w:pPr>
              <w:spacing w:before="120" w:after="120"/>
              <w:jc w:val="center"/>
            </w:pPr>
            <w:hyperlink r:id="rId9" w:history="1">
              <w:r w:rsidRPr="008D4E95">
                <w:rPr>
                  <w:rStyle w:val="Hyperlink"/>
                </w:rPr>
                <w:t>Popcorn</w:t>
              </w:r>
            </w:hyperlink>
          </w:p>
          <w:p w14:paraId="78347800" w14:textId="0A999982" w:rsidR="002F3528" w:rsidRDefault="002F3528" w:rsidP="002210B4">
            <w:pPr>
              <w:spacing w:before="120" w:after="120"/>
              <w:jc w:val="center"/>
            </w:pPr>
            <w:r>
              <w:t>(Measurement – volume)</w:t>
            </w:r>
          </w:p>
        </w:tc>
        <w:tc>
          <w:tcPr>
            <w:tcW w:w="3627" w:type="dxa"/>
            <w:vMerge w:val="restart"/>
            <w:shd w:val="clear" w:color="auto" w:fill="auto"/>
          </w:tcPr>
          <w:p w14:paraId="26F3FD76" w14:textId="218EF661" w:rsidR="002F3528" w:rsidRDefault="002F3528" w:rsidP="002210B4">
            <w:pPr>
              <w:spacing w:before="120" w:after="120"/>
              <w:jc w:val="center"/>
            </w:pPr>
            <w:hyperlink r:id="rId10" w:history="1">
              <w:r w:rsidRPr="006A3C8D">
                <w:rPr>
                  <w:rStyle w:val="Hyperlink"/>
                </w:rPr>
                <w:t>Robots</w:t>
              </w:r>
            </w:hyperlink>
          </w:p>
          <w:p w14:paraId="0FEC93B6" w14:textId="55988B35" w:rsidR="002F3528" w:rsidRDefault="002F3528" w:rsidP="002210B4">
            <w:pPr>
              <w:spacing w:before="120" w:after="120"/>
              <w:jc w:val="center"/>
            </w:pPr>
            <w:r>
              <w:t>(Describing direction/movement)</w:t>
            </w:r>
          </w:p>
        </w:tc>
        <w:tc>
          <w:tcPr>
            <w:tcW w:w="3628" w:type="dxa"/>
            <w:vMerge w:val="restart"/>
            <w:shd w:val="clear" w:color="auto" w:fill="auto"/>
          </w:tcPr>
          <w:p w14:paraId="0811193C" w14:textId="09391D52" w:rsidR="002F3528" w:rsidRDefault="002F3528" w:rsidP="002210B4">
            <w:pPr>
              <w:spacing w:before="120" w:after="120"/>
              <w:jc w:val="center"/>
            </w:pPr>
            <w:hyperlink r:id="rId11" w:history="1">
              <w:r w:rsidRPr="008D4E95">
                <w:rPr>
                  <w:rStyle w:val="Hyperlink"/>
                </w:rPr>
                <w:t>Fun and fitness</w:t>
              </w:r>
            </w:hyperlink>
          </w:p>
          <w:p w14:paraId="1F63C227" w14:textId="43C3C8C2" w:rsidR="002F3528" w:rsidRDefault="002F3528" w:rsidP="002210B4">
            <w:pPr>
              <w:spacing w:before="120" w:after="120"/>
              <w:jc w:val="center"/>
            </w:pPr>
            <w:r>
              <w:t>(Measurement/statistics)</w:t>
            </w:r>
          </w:p>
        </w:tc>
      </w:tr>
      <w:tr w:rsidR="002F3528" w14:paraId="0BD7A75E" w14:textId="77777777" w:rsidTr="002F3528">
        <w:trPr>
          <w:trHeight w:val="630"/>
        </w:trPr>
        <w:tc>
          <w:tcPr>
            <w:tcW w:w="3627" w:type="dxa"/>
            <w:vMerge/>
            <w:shd w:val="clear" w:color="auto" w:fill="auto"/>
          </w:tcPr>
          <w:p w14:paraId="0E7B48BB" w14:textId="77777777" w:rsidR="002F3528" w:rsidRDefault="002F3528" w:rsidP="002210B4">
            <w:pPr>
              <w:spacing w:before="120" w:after="120"/>
              <w:jc w:val="center"/>
            </w:pPr>
          </w:p>
        </w:tc>
        <w:tc>
          <w:tcPr>
            <w:tcW w:w="3628" w:type="dxa"/>
            <w:vMerge/>
            <w:shd w:val="clear" w:color="auto" w:fill="auto"/>
          </w:tcPr>
          <w:p w14:paraId="2AA1E1EF" w14:textId="77777777" w:rsidR="002F3528" w:rsidRDefault="002F3528" w:rsidP="002210B4">
            <w:pPr>
              <w:spacing w:before="120" w:after="120"/>
              <w:jc w:val="center"/>
            </w:pPr>
          </w:p>
        </w:tc>
        <w:tc>
          <w:tcPr>
            <w:tcW w:w="3627" w:type="dxa"/>
            <w:vMerge/>
            <w:shd w:val="clear" w:color="auto" w:fill="auto"/>
          </w:tcPr>
          <w:p w14:paraId="1F6569EA" w14:textId="77777777" w:rsidR="002F3528" w:rsidRDefault="002F3528" w:rsidP="002210B4">
            <w:pPr>
              <w:spacing w:before="120" w:after="120"/>
              <w:jc w:val="center"/>
            </w:pPr>
          </w:p>
        </w:tc>
        <w:tc>
          <w:tcPr>
            <w:tcW w:w="3628" w:type="dxa"/>
            <w:vMerge/>
            <w:shd w:val="clear" w:color="auto" w:fill="auto"/>
          </w:tcPr>
          <w:p w14:paraId="28637DA3" w14:textId="4BEE4288" w:rsidR="002F3528" w:rsidRDefault="002F3528" w:rsidP="002210B4">
            <w:pPr>
              <w:spacing w:before="120" w:after="120"/>
              <w:jc w:val="center"/>
            </w:pPr>
          </w:p>
        </w:tc>
      </w:tr>
      <w:tr w:rsidR="002F3528" w14:paraId="7019D7F9" w14:textId="77777777" w:rsidTr="002F3528">
        <w:trPr>
          <w:trHeight w:val="482"/>
        </w:trPr>
        <w:tc>
          <w:tcPr>
            <w:tcW w:w="3627" w:type="dxa"/>
            <w:vMerge w:val="restart"/>
            <w:shd w:val="clear" w:color="auto" w:fill="auto"/>
          </w:tcPr>
          <w:p w14:paraId="1C58EBF0" w14:textId="77777777" w:rsidR="002F3528" w:rsidRDefault="002F3528" w:rsidP="002210B4">
            <w:pPr>
              <w:spacing w:before="120" w:after="120"/>
              <w:jc w:val="center"/>
            </w:pPr>
            <w:hyperlink r:id="rId12" w:history="1">
              <w:r w:rsidRPr="00C44A24">
                <w:rPr>
                  <w:rStyle w:val="Hyperlink"/>
                </w:rPr>
                <w:t>Building on two-digit place value</w:t>
              </w:r>
            </w:hyperlink>
          </w:p>
          <w:p w14:paraId="71927143" w14:textId="321DA8CF" w:rsidR="002F3528" w:rsidRDefault="002F3528" w:rsidP="002210B4">
            <w:pPr>
              <w:spacing w:before="120" w:after="120"/>
              <w:jc w:val="center"/>
            </w:pPr>
            <w:r>
              <w:t>(Place Value – addition/subtraction)</w:t>
            </w:r>
          </w:p>
        </w:tc>
        <w:tc>
          <w:tcPr>
            <w:tcW w:w="3628" w:type="dxa"/>
            <w:vMerge w:val="restart"/>
            <w:shd w:val="clear" w:color="auto" w:fill="auto"/>
          </w:tcPr>
          <w:p w14:paraId="244980FD" w14:textId="1618DC9F" w:rsidR="002F3528" w:rsidRDefault="002F3528" w:rsidP="002210B4">
            <w:pPr>
              <w:spacing w:before="120" w:after="120"/>
              <w:jc w:val="center"/>
            </w:pPr>
            <w:hyperlink r:id="rId13" w:history="1">
              <w:r w:rsidRPr="008D4E95">
                <w:rPr>
                  <w:rStyle w:val="Hyperlink"/>
                </w:rPr>
                <w:t>Multiplication stories</w:t>
              </w:r>
            </w:hyperlink>
          </w:p>
          <w:p w14:paraId="1A100F15" w14:textId="4265631F" w:rsidR="002F3528" w:rsidRDefault="002F3528" w:rsidP="002210B4">
            <w:pPr>
              <w:spacing w:before="120" w:after="120"/>
              <w:jc w:val="center"/>
            </w:pPr>
            <w:r>
              <w:t>(Multiplication word problems)</w:t>
            </w:r>
          </w:p>
        </w:tc>
        <w:tc>
          <w:tcPr>
            <w:tcW w:w="3627" w:type="dxa"/>
            <w:vMerge w:val="restart"/>
            <w:shd w:val="clear" w:color="auto" w:fill="auto"/>
          </w:tcPr>
          <w:p w14:paraId="238E16CD" w14:textId="36D4EC10" w:rsidR="002F3528" w:rsidRDefault="002F3528" w:rsidP="002210B4">
            <w:pPr>
              <w:spacing w:before="120" w:after="120"/>
              <w:jc w:val="center"/>
            </w:pPr>
            <w:hyperlink r:id="rId14" w:history="1">
              <w:r w:rsidRPr="006A3C8D">
                <w:rPr>
                  <w:rStyle w:val="Hyperlink"/>
                </w:rPr>
                <w:t>Number families and relationships</w:t>
              </w:r>
            </w:hyperlink>
          </w:p>
          <w:p w14:paraId="751F46DB" w14:textId="28553EA7" w:rsidR="002F3528" w:rsidRDefault="002F3528" w:rsidP="002210B4">
            <w:pPr>
              <w:spacing w:before="120" w:after="120"/>
              <w:jc w:val="center"/>
            </w:pPr>
            <w:r>
              <w:t>(Add/sub families of facts)</w:t>
            </w:r>
          </w:p>
        </w:tc>
        <w:tc>
          <w:tcPr>
            <w:tcW w:w="3628" w:type="dxa"/>
            <w:vMerge w:val="restart"/>
            <w:shd w:val="clear" w:color="auto" w:fill="auto"/>
          </w:tcPr>
          <w:p w14:paraId="486AA2B8" w14:textId="3A76856F" w:rsidR="002F3528" w:rsidRDefault="002F3528" w:rsidP="002210B4">
            <w:pPr>
              <w:spacing w:before="120" w:after="120"/>
              <w:jc w:val="center"/>
            </w:pPr>
            <w:hyperlink r:id="rId15" w:history="1">
              <w:r w:rsidRPr="008D4E95">
                <w:rPr>
                  <w:rStyle w:val="Hyperlink"/>
                </w:rPr>
                <w:t>Letter patterns</w:t>
              </w:r>
            </w:hyperlink>
          </w:p>
          <w:p w14:paraId="10C852B6" w14:textId="1F64BDA0" w:rsidR="002F3528" w:rsidRDefault="002F3528" w:rsidP="002210B4">
            <w:pPr>
              <w:spacing w:before="120" w:after="120"/>
              <w:jc w:val="center"/>
            </w:pPr>
            <w:r>
              <w:t>(Investigating number patterns)</w:t>
            </w:r>
          </w:p>
        </w:tc>
      </w:tr>
      <w:tr w:rsidR="002F3528" w14:paraId="7B182E7D" w14:textId="77777777" w:rsidTr="002F3528">
        <w:trPr>
          <w:trHeight w:val="630"/>
        </w:trPr>
        <w:tc>
          <w:tcPr>
            <w:tcW w:w="3627" w:type="dxa"/>
            <w:vMerge/>
            <w:shd w:val="clear" w:color="auto" w:fill="auto"/>
          </w:tcPr>
          <w:p w14:paraId="34BDD54A" w14:textId="77777777" w:rsidR="002F3528" w:rsidRDefault="002F3528" w:rsidP="002210B4">
            <w:pPr>
              <w:spacing w:before="120" w:after="120"/>
              <w:jc w:val="center"/>
            </w:pPr>
          </w:p>
        </w:tc>
        <w:tc>
          <w:tcPr>
            <w:tcW w:w="3628" w:type="dxa"/>
            <w:vMerge/>
            <w:shd w:val="clear" w:color="auto" w:fill="auto"/>
          </w:tcPr>
          <w:p w14:paraId="71AC35FF" w14:textId="77777777" w:rsidR="002F3528" w:rsidRDefault="002F3528" w:rsidP="002210B4">
            <w:pPr>
              <w:spacing w:before="120" w:after="120"/>
              <w:jc w:val="center"/>
            </w:pPr>
          </w:p>
        </w:tc>
        <w:tc>
          <w:tcPr>
            <w:tcW w:w="3627" w:type="dxa"/>
            <w:vMerge/>
            <w:shd w:val="clear" w:color="auto" w:fill="auto"/>
          </w:tcPr>
          <w:p w14:paraId="76A067BA" w14:textId="77777777" w:rsidR="002F3528" w:rsidRDefault="002F3528" w:rsidP="002210B4">
            <w:pPr>
              <w:spacing w:before="120" w:after="120"/>
              <w:jc w:val="center"/>
            </w:pPr>
          </w:p>
        </w:tc>
        <w:tc>
          <w:tcPr>
            <w:tcW w:w="3628" w:type="dxa"/>
            <w:vMerge/>
            <w:shd w:val="clear" w:color="auto" w:fill="auto"/>
          </w:tcPr>
          <w:p w14:paraId="0D6F1F80" w14:textId="4EC34869" w:rsidR="002F3528" w:rsidRDefault="002F3528" w:rsidP="002210B4">
            <w:pPr>
              <w:spacing w:before="120" w:after="120"/>
              <w:jc w:val="center"/>
            </w:pPr>
          </w:p>
        </w:tc>
      </w:tr>
      <w:tr w:rsidR="002F3528" w14:paraId="530ACF84" w14:textId="77777777" w:rsidTr="002F3528">
        <w:trPr>
          <w:trHeight w:val="482"/>
        </w:trPr>
        <w:tc>
          <w:tcPr>
            <w:tcW w:w="3627" w:type="dxa"/>
            <w:vMerge w:val="restart"/>
            <w:shd w:val="clear" w:color="auto" w:fill="auto"/>
          </w:tcPr>
          <w:p w14:paraId="6274A023" w14:textId="77777777" w:rsidR="002F3528" w:rsidRDefault="002F3528" w:rsidP="002210B4">
            <w:pPr>
              <w:spacing w:before="120" w:after="120"/>
              <w:jc w:val="center"/>
            </w:pPr>
            <w:hyperlink r:id="rId16" w:history="1">
              <w:r w:rsidRPr="00C44A24">
                <w:rPr>
                  <w:rStyle w:val="Hyperlink"/>
                </w:rPr>
                <w:t>Paper planes level 2</w:t>
              </w:r>
            </w:hyperlink>
          </w:p>
          <w:p w14:paraId="0DAFD711" w14:textId="54615C97" w:rsidR="002F3528" w:rsidRDefault="002F3528" w:rsidP="002210B4">
            <w:pPr>
              <w:spacing w:before="120" w:after="120"/>
              <w:jc w:val="center"/>
            </w:pPr>
            <w:r>
              <w:t>(Measurement – length)</w:t>
            </w:r>
          </w:p>
        </w:tc>
        <w:tc>
          <w:tcPr>
            <w:tcW w:w="3628" w:type="dxa"/>
            <w:vMerge w:val="restart"/>
            <w:shd w:val="clear" w:color="auto" w:fill="auto"/>
          </w:tcPr>
          <w:p w14:paraId="70391AA3" w14:textId="2264A8A2" w:rsidR="002F3528" w:rsidRDefault="002F3528" w:rsidP="002210B4">
            <w:pPr>
              <w:spacing w:before="120" w:after="120"/>
              <w:jc w:val="center"/>
            </w:pPr>
            <w:hyperlink r:id="rId17" w:history="1">
              <w:r w:rsidRPr="008D4E95">
                <w:rPr>
                  <w:rStyle w:val="Hyperlink"/>
                </w:rPr>
                <w:t>Planning a statistical investigation</w:t>
              </w:r>
            </w:hyperlink>
          </w:p>
          <w:p w14:paraId="0AA609C9" w14:textId="144A63A5" w:rsidR="002F3528" w:rsidRDefault="002F3528" w:rsidP="002210B4">
            <w:pPr>
              <w:spacing w:before="120" w:after="120"/>
              <w:jc w:val="center"/>
            </w:pPr>
            <w:r>
              <w:t>(Statistics)</w:t>
            </w:r>
          </w:p>
          <w:p w14:paraId="2DDA70FB" w14:textId="42A5DDC1" w:rsidR="002F3528" w:rsidRDefault="002F3528" w:rsidP="002210B4">
            <w:pPr>
              <w:spacing w:before="120" w:after="120"/>
              <w:jc w:val="center"/>
            </w:pPr>
          </w:p>
        </w:tc>
        <w:tc>
          <w:tcPr>
            <w:tcW w:w="3627" w:type="dxa"/>
            <w:vMerge w:val="restart"/>
            <w:shd w:val="clear" w:color="auto" w:fill="auto"/>
          </w:tcPr>
          <w:p w14:paraId="716C61AB" w14:textId="228C45F8" w:rsidR="002F3528" w:rsidRDefault="002F3528" w:rsidP="002210B4">
            <w:pPr>
              <w:spacing w:before="120" w:after="120"/>
              <w:jc w:val="center"/>
            </w:pPr>
            <w:hyperlink r:id="rId18" w:history="1">
              <w:r w:rsidRPr="006A3C8D">
                <w:rPr>
                  <w:rStyle w:val="Hyperlink"/>
                </w:rPr>
                <w:t>How long does it take?</w:t>
              </w:r>
            </w:hyperlink>
          </w:p>
          <w:p w14:paraId="302D23CD" w14:textId="7A174182" w:rsidR="002F3528" w:rsidRDefault="002F3528" w:rsidP="002210B4">
            <w:pPr>
              <w:spacing w:before="120" w:after="120"/>
              <w:jc w:val="center"/>
            </w:pPr>
            <w:r>
              <w:t>(Measurement – time)</w:t>
            </w:r>
          </w:p>
        </w:tc>
        <w:tc>
          <w:tcPr>
            <w:tcW w:w="3628" w:type="dxa"/>
            <w:vMerge w:val="restart"/>
            <w:shd w:val="clear" w:color="auto" w:fill="auto"/>
          </w:tcPr>
          <w:p w14:paraId="6C9EB454" w14:textId="1CDAF01B" w:rsidR="002F3528" w:rsidRDefault="002F3528" w:rsidP="002210B4">
            <w:pPr>
              <w:spacing w:before="120" w:after="120"/>
              <w:jc w:val="center"/>
            </w:pPr>
            <w:hyperlink r:id="rId19" w:history="1">
              <w:r w:rsidRPr="008D4E95">
                <w:rPr>
                  <w:rStyle w:val="Hyperlink"/>
                </w:rPr>
                <w:t>Voting vitality</w:t>
              </w:r>
            </w:hyperlink>
          </w:p>
          <w:p w14:paraId="17D149D9" w14:textId="6334AE2B" w:rsidR="002F3528" w:rsidRDefault="002F3528" w:rsidP="002210B4">
            <w:pPr>
              <w:spacing w:before="120" w:after="120"/>
              <w:jc w:val="center"/>
            </w:pPr>
            <w:r>
              <w:t>(Statistics)</w:t>
            </w:r>
          </w:p>
        </w:tc>
      </w:tr>
      <w:tr w:rsidR="002F3528" w14:paraId="12B38463" w14:textId="77777777" w:rsidTr="002F3528">
        <w:trPr>
          <w:trHeight w:val="630"/>
        </w:trPr>
        <w:tc>
          <w:tcPr>
            <w:tcW w:w="3627" w:type="dxa"/>
            <w:vMerge/>
            <w:shd w:val="clear" w:color="auto" w:fill="auto"/>
          </w:tcPr>
          <w:p w14:paraId="113627E5" w14:textId="77777777" w:rsidR="002F3528" w:rsidRDefault="002F3528" w:rsidP="002210B4">
            <w:pPr>
              <w:spacing w:before="120" w:after="120"/>
              <w:jc w:val="center"/>
            </w:pPr>
          </w:p>
        </w:tc>
        <w:tc>
          <w:tcPr>
            <w:tcW w:w="3628" w:type="dxa"/>
            <w:vMerge/>
            <w:shd w:val="clear" w:color="auto" w:fill="auto"/>
          </w:tcPr>
          <w:p w14:paraId="65A5434C" w14:textId="77777777" w:rsidR="002F3528" w:rsidRDefault="002F3528" w:rsidP="002210B4">
            <w:pPr>
              <w:spacing w:before="120" w:after="120"/>
              <w:jc w:val="center"/>
            </w:pPr>
          </w:p>
        </w:tc>
        <w:tc>
          <w:tcPr>
            <w:tcW w:w="3627" w:type="dxa"/>
            <w:vMerge/>
            <w:shd w:val="clear" w:color="auto" w:fill="auto"/>
          </w:tcPr>
          <w:p w14:paraId="1013A2EA" w14:textId="77777777" w:rsidR="002F3528" w:rsidRDefault="002F3528" w:rsidP="002210B4">
            <w:pPr>
              <w:spacing w:before="120" w:after="120"/>
              <w:jc w:val="center"/>
            </w:pPr>
          </w:p>
        </w:tc>
        <w:tc>
          <w:tcPr>
            <w:tcW w:w="3628" w:type="dxa"/>
            <w:vMerge/>
            <w:shd w:val="clear" w:color="auto" w:fill="auto"/>
          </w:tcPr>
          <w:p w14:paraId="15199D48" w14:textId="041E15C7" w:rsidR="002F3528" w:rsidRDefault="002F3528" w:rsidP="002210B4">
            <w:pPr>
              <w:spacing w:before="120" w:after="120"/>
              <w:jc w:val="center"/>
            </w:pPr>
          </w:p>
        </w:tc>
      </w:tr>
      <w:tr w:rsidR="002F3528" w14:paraId="7A7A496E" w14:textId="77777777" w:rsidTr="002F3528">
        <w:trPr>
          <w:trHeight w:val="482"/>
        </w:trPr>
        <w:tc>
          <w:tcPr>
            <w:tcW w:w="3627" w:type="dxa"/>
            <w:vMerge w:val="restart"/>
            <w:shd w:val="clear" w:color="auto" w:fill="auto"/>
          </w:tcPr>
          <w:p w14:paraId="03FF2440" w14:textId="702C842F" w:rsidR="002F3528" w:rsidRDefault="002F3528" w:rsidP="007C2E2B">
            <w:pPr>
              <w:spacing w:before="120" w:after="120"/>
              <w:jc w:val="center"/>
            </w:pPr>
            <w:hyperlink r:id="rId20" w:history="1">
              <w:r w:rsidRPr="00C44A24">
                <w:rPr>
                  <w:rStyle w:val="Hyperlink"/>
                </w:rPr>
                <w:t>Number lines and bead strings</w:t>
              </w:r>
            </w:hyperlink>
          </w:p>
          <w:p w14:paraId="41E878C3" w14:textId="00DA50A4" w:rsidR="002F3528" w:rsidRDefault="002F3528" w:rsidP="007C2E2B">
            <w:pPr>
              <w:spacing w:before="120" w:after="120"/>
              <w:jc w:val="center"/>
            </w:pPr>
            <w:r>
              <w:t>(Addition/subtraction)</w:t>
            </w:r>
          </w:p>
        </w:tc>
        <w:tc>
          <w:tcPr>
            <w:tcW w:w="3628" w:type="dxa"/>
            <w:vMerge w:val="restart"/>
            <w:shd w:val="clear" w:color="auto" w:fill="auto"/>
          </w:tcPr>
          <w:p w14:paraId="319FF58C" w14:textId="31778632" w:rsidR="002F3528" w:rsidRDefault="002F3528" w:rsidP="007C2E2B">
            <w:pPr>
              <w:spacing w:before="120" w:after="120"/>
              <w:jc w:val="center"/>
            </w:pPr>
            <w:hyperlink r:id="rId21" w:history="1">
              <w:r w:rsidRPr="008D4E95">
                <w:rPr>
                  <w:rStyle w:val="Hyperlink"/>
                </w:rPr>
                <w:t>Pede patterns</w:t>
              </w:r>
            </w:hyperlink>
          </w:p>
          <w:p w14:paraId="0E6DAD3B" w14:textId="165EA68F" w:rsidR="002F3528" w:rsidRDefault="002F3528" w:rsidP="007C2E2B">
            <w:pPr>
              <w:spacing w:before="120" w:after="120"/>
              <w:jc w:val="center"/>
            </w:pPr>
            <w:r>
              <w:t>(Continuing/generalising patterns)</w:t>
            </w:r>
          </w:p>
        </w:tc>
        <w:tc>
          <w:tcPr>
            <w:tcW w:w="3627" w:type="dxa"/>
            <w:vMerge w:val="restart"/>
            <w:shd w:val="clear" w:color="auto" w:fill="auto"/>
          </w:tcPr>
          <w:p w14:paraId="42850346" w14:textId="7144301D" w:rsidR="002F3528" w:rsidRDefault="002F3528" w:rsidP="007C2E2B">
            <w:pPr>
              <w:spacing w:before="120" w:after="120"/>
              <w:jc w:val="center"/>
            </w:pPr>
            <w:r>
              <w:t xml:space="preserve">Additive strategies from </w:t>
            </w:r>
            <w:hyperlink r:id="rId22" w:history="1">
              <w:r w:rsidRPr="006A3C8D">
                <w:rPr>
                  <w:rStyle w:val="Hyperlink"/>
                </w:rPr>
                <w:t>Book 5</w:t>
              </w:r>
            </w:hyperlink>
          </w:p>
          <w:p w14:paraId="34277485" w14:textId="30A425A9" w:rsidR="002F3528" w:rsidRDefault="002F3528" w:rsidP="007C2E2B">
            <w:pPr>
              <w:spacing w:before="120" w:after="120"/>
              <w:jc w:val="center"/>
            </w:pPr>
            <w:r>
              <w:t xml:space="preserve">Multiplicative strategies from </w:t>
            </w:r>
            <w:hyperlink r:id="rId23" w:history="1">
              <w:r w:rsidRPr="006A3C8D">
                <w:rPr>
                  <w:rStyle w:val="Hyperlink"/>
                </w:rPr>
                <w:t>Book 6</w:t>
              </w:r>
            </w:hyperlink>
          </w:p>
          <w:p w14:paraId="209B627D" w14:textId="2F80C00C" w:rsidR="002F3528" w:rsidRDefault="002F3528" w:rsidP="007C2E2B">
            <w:pPr>
              <w:spacing w:before="120" w:after="120"/>
              <w:jc w:val="center"/>
            </w:pPr>
            <w:r>
              <w:t>(Choose appropriate)</w:t>
            </w:r>
          </w:p>
        </w:tc>
        <w:tc>
          <w:tcPr>
            <w:tcW w:w="3628" w:type="dxa"/>
            <w:vMerge w:val="restart"/>
            <w:shd w:val="clear" w:color="auto" w:fill="auto"/>
          </w:tcPr>
          <w:p w14:paraId="7EAD3CCB" w14:textId="08C0092D" w:rsidR="002F3528" w:rsidRDefault="002F3528" w:rsidP="007C2E2B">
            <w:pPr>
              <w:spacing w:before="120" w:after="120"/>
              <w:jc w:val="center"/>
            </w:pPr>
            <w:hyperlink r:id="rId24" w:history="1">
              <w:r w:rsidRPr="008D4E95">
                <w:rPr>
                  <w:rStyle w:val="Hyperlink"/>
                </w:rPr>
                <w:t>Fraction bits and parts</w:t>
              </w:r>
            </w:hyperlink>
          </w:p>
          <w:p w14:paraId="2C8EB9CA" w14:textId="1DD17F09" w:rsidR="002F3528" w:rsidRDefault="002F3528" w:rsidP="007C2E2B">
            <w:pPr>
              <w:spacing w:before="120" w:after="120"/>
              <w:jc w:val="center"/>
            </w:pPr>
            <w:r>
              <w:t>(Using fractions)</w:t>
            </w:r>
          </w:p>
        </w:tc>
      </w:tr>
      <w:tr w:rsidR="002F3528" w14:paraId="05662A50" w14:textId="77777777" w:rsidTr="002F3528">
        <w:trPr>
          <w:trHeight w:val="630"/>
        </w:trPr>
        <w:tc>
          <w:tcPr>
            <w:tcW w:w="3627" w:type="dxa"/>
            <w:vMerge/>
            <w:shd w:val="clear" w:color="auto" w:fill="auto"/>
          </w:tcPr>
          <w:p w14:paraId="16667AD5" w14:textId="77777777" w:rsidR="002F3528" w:rsidRDefault="002F3528" w:rsidP="007C2E2B">
            <w:pPr>
              <w:spacing w:before="120" w:after="120"/>
              <w:jc w:val="center"/>
            </w:pPr>
          </w:p>
        </w:tc>
        <w:tc>
          <w:tcPr>
            <w:tcW w:w="3628" w:type="dxa"/>
            <w:vMerge/>
            <w:shd w:val="clear" w:color="auto" w:fill="auto"/>
          </w:tcPr>
          <w:p w14:paraId="7482F13A" w14:textId="77777777" w:rsidR="002F3528" w:rsidRDefault="002F3528" w:rsidP="007C2E2B">
            <w:pPr>
              <w:spacing w:before="120" w:after="120"/>
              <w:jc w:val="center"/>
            </w:pPr>
          </w:p>
        </w:tc>
        <w:tc>
          <w:tcPr>
            <w:tcW w:w="3627" w:type="dxa"/>
            <w:vMerge/>
            <w:shd w:val="clear" w:color="auto" w:fill="auto"/>
          </w:tcPr>
          <w:p w14:paraId="5E6D3295" w14:textId="77777777" w:rsidR="002F3528" w:rsidRDefault="002F3528" w:rsidP="007C2E2B">
            <w:pPr>
              <w:spacing w:before="120" w:after="120"/>
              <w:jc w:val="center"/>
            </w:pPr>
          </w:p>
        </w:tc>
        <w:tc>
          <w:tcPr>
            <w:tcW w:w="3628" w:type="dxa"/>
            <w:vMerge/>
            <w:shd w:val="clear" w:color="auto" w:fill="auto"/>
          </w:tcPr>
          <w:p w14:paraId="1B46C7A8" w14:textId="1ACBC58D" w:rsidR="002F3528" w:rsidRDefault="002F3528" w:rsidP="007C2E2B">
            <w:pPr>
              <w:spacing w:before="120" w:after="120"/>
              <w:jc w:val="center"/>
            </w:pPr>
          </w:p>
        </w:tc>
      </w:tr>
      <w:tr w:rsidR="002F3528" w14:paraId="3764FC79" w14:textId="77777777" w:rsidTr="002F3528">
        <w:trPr>
          <w:trHeight w:val="482"/>
        </w:trPr>
        <w:tc>
          <w:tcPr>
            <w:tcW w:w="3627" w:type="dxa"/>
            <w:vMerge w:val="restart"/>
            <w:shd w:val="clear" w:color="auto" w:fill="auto"/>
          </w:tcPr>
          <w:p w14:paraId="193013EF" w14:textId="1277E110" w:rsidR="002F3528" w:rsidRDefault="002F3528" w:rsidP="007C2E2B">
            <w:pPr>
              <w:spacing w:before="120" w:after="120"/>
              <w:jc w:val="center"/>
            </w:pPr>
            <w:hyperlink r:id="rId25" w:history="1">
              <w:r w:rsidRPr="00C44A24">
                <w:rPr>
                  <w:rStyle w:val="Hyperlink"/>
                </w:rPr>
                <w:t>Honeycomb</w:t>
              </w:r>
            </w:hyperlink>
          </w:p>
          <w:p w14:paraId="06341E73" w14:textId="3219A265" w:rsidR="002F3528" w:rsidRDefault="002F3528" w:rsidP="007C2E2B">
            <w:pPr>
              <w:spacing w:before="120" w:after="120"/>
              <w:jc w:val="center"/>
            </w:pPr>
            <w:r>
              <w:t>(2D and 3D shapes)</w:t>
            </w:r>
          </w:p>
        </w:tc>
        <w:tc>
          <w:tcPr>
            <w:tcW w:w="3628" w:type="dxa"/>
            <w:vMerge w:val="restart"/>
            <w:shd w:val="clear" w:color="auto" w:fill="auto"/>
          </w:tcPr>
          <w:p w14:paraId="52FDC13F" w14:textId="3031981E" w:rsidR="002F3528" w:rsidRDefault="002F3528" w:rsidP="007C2E2B">
            <w:pPr>
              <w:spacing w:before="120" w:after="120"/>
              <w:jc w:val="center"/>
            </w:pPr>
            <w:hyperlink r:id="rId26" w:history="1">
              <w:r w:rsidRPr="008D4E95">
                <w:rPr>
                  <w:rStyle w:val="Hyperlink"/>
                </w:rPr>
                <w:t>Matariki level 2</w:t>
              </w:r>
            </w:hyperlink>
          </w:p>
          <w:p w14:paraId="1880D422" w14:textId="5B19A918" w:rsidR="002F3528" w:rsidRDefault="002F3528" w:rsidP="007C2E2B">
            <w:pPr>
              <w:spacing w:before="120" w:after="120"/>
              <w:jc w:val="center"/>
            </w:pPr>
            <w:r>
              <w:t>(Thematic unit)</w:t>
            </w:r>
          </w:p>
        </w:tc>
        <w:tc>
          <w:tcPr>
            <w:tcW w:w="3627" w:type="dxa"/>
            <w:vMerge w:val="restart"/>
            <w:shd w:val="clear" w:color="auto" w:fill="auto"/>
          </w:tcPr>
          <w:p w14:paraId="403684E8" w14:textId="53319210" w:rsidR="002F3528" w:rsidRDefault="002F3528" w:rsidP="007C2E2B">
            <w:pPr>
              <w:spacing w:before="120" w:after="120"/>
              <w:jc w:val="center"/>
            </w:pPr>
            <w:hyperlink r:id="rId27" w:history="1">
              <w:r>
                <w:rPr>
                  <w:rStyle w:val="Hyperlink"/>
                </w:rPr>
                <w:t>C</w:t>
              </w:r>
              <w:r w:rsidRPr="006A3C8D">
                <w:rPr>
                  <w:rStyle w:val="Hyperlink"/>
                </w:rPr>
                <w:t xml:space="preserve">ube and </w:t>
              </w:r>
              <w:r>
                <w:rPr>
                  <w:rStyle w:val="Hyperlink"/>
                </w:rPr>
                <w:t>spinner</w:t>
              </w:r>
              <w:r w:rsidRPr="006A3C8D">
                <w:rPr>
                  <w:rStyle w:val="Hyperlink"/>
                </w:rPr>
                <w:t xml:space="preserve"> challenges</w:t>
              </w:r>
            </w:hyperlink>
          </w:p>
          <w:p w14:paraId="2156D23A" w14:textId="0F35DC80" w:rsidR="002F3528" w:rsidRDefault="002F3528" w:rsidP="007C2E2B">
            <w:pPr>
              <w:spacing w:before="120" w:after="120"/>
              <w:jc w:val="center"/>
            </w:pPr>
            <w:r>
              <w:t>(Fair games)</w:t>
            </w:r>
          </w:p>
        </w:tc>
        <w:tc>
          <w:tcPr>
            <w:tcW w:w="3628" w:type="dxa"/>
            <w:vMerge w:val="restart"/>
            <w:shd w:val="clear" w:color="auto" w:fill="auto"/>
          </w:tcPr>
          <w:p w14:paraId="0D094181" w14:textId="3A40B2EE" w:rsidR="002F3528" w:rsidRDefault="002F3528" w:rsidP="007C2E2B">
            <w:pPr>
              <w:spacing w:before="120" w:after="120"/>
              <w:jc w:val="center"/>
            </w:pPr>
            <w:hyperlink r:id="rId28" w:history="1">
              <w:r w:rsidRPr="006A3C8D">
                <w:rPr>
                  <w:rStyle w:val="Hyperlink"/>
                </w:rPr>
                <w:t>In the garden</w:t>
              </w:r>
            </w:hyperlink>
          </w:p>
          <w:p w14:paraId="72DD85DA" w14:textId="1BAA2940" w:rsidR="002F3528" w:rsidRDefault="002F3528" w:rsidP="007C2E2B">
            <w:pPr>
              <w:spacing w:before="120" w:after="120"/>
              <w:jc w:val="center"/>
            </w:pPr>
            <w:r>
              <w:t>(Tessellation/transformations)</w:t>
            </w:r>
          </w:p>
        </w:tc>
      </w:tr>
      <w:tr w:rsidR="002F3528" w14:paraId="05D54E5D" w14:textId="77777777" w:rsidTr="002F3528">
        <w:trPr>
          <w:trHeight w:val="630"/>
        </w:trPr>
        <w:tc>
          <w:tcPr>
            <w:tcW w:w="3627" w:type="dxa"/>
            <w:vMerge/>
            <w:tcBorders>
              <w:bottom w:val="single" w:sz="4" w:space="0" w:color="808080" w:themeColor="background1" w:themeShade="80"/>
            </w:tcBorders>
            <w:shd w:val="clear" w:color="auto" w:fill="auto"/>
          </w:tcPr>
          <w:p w14:paraId="0C254C85" w14:textId="77777777" w:rsidR="002F3528" w:rsidRDefault="002F3528" w:rsidP="007C2E2B">
            <w:pPr>
              <w:spacing w:before="120" w:after="120"/>
              <w:jc w:val="center"/>
            </w:pPr>
          </w:p>
        </w:tc>
        <w:tc>
          <w:tcPr>
            <w:tcW w:w="3628" w:type="dxa"/>
            <w:vMerge/>
            <w:tcBorders>
              <w:bottom w:val="single" w:sz="4" w:space="0" w:color="808080" w:themeColor="background1" w:themeShade="80"/>
            </w:tcBorders>
            <w:shd w:val="clear" w:color="auto" w:fill="auto"/>
          </w:tcPr>
          <w:p w14:paraId="0DF53FF8" w14:textId="77777777" w:rsidR="002F3528" w:rsidRDefault="002F3528" w:rsidP="007C2E2B">
            <w:pPr>
              <w:spacing w:before="120" w:after="120"/>
              <w:jc w:val="center"/>
            </w:pPr>
          </w:p>
        </w:tc>
        <w:tc>
          <w:tcPr>
            <w:tcW w:w="3627" w:type="dxa"/>
            <w:vMerge/>
            <w:tcBorders>
              <w:bottom w:val="single" w:sz="4" w:space="0" w:color="808080" w:themeColor="background1" w:themeShade="80"/>
            </w:tcBorders>
            <w:shd w:val="clear" w:color="auto" w:fill="auto"/>
          </w:tcPr>
          <w:p w14:paraId="14A3C2AC" w14:textId="77777777" w:rsidR="002F3528" w:rsidRDefault="002F3528" w:rsidP="007C2E2B">
            <w:pPr>
              <w:spacing w:before="120" w:after="120"/>
              <w:jc w:val="center"/>
            </w:pPr>
          </w:p>
        </w:tc>
        <w:tc>
          <w:tcPr>
            <w:tcW w:w="3628" w:type="dxa"/>
            <w:vMerge/>
            <w:tcBorders>
              <w:bottom w:val="single" w:sz="4" w:space="0" w:color="808080" w:themeColor="background1" w:themeShade="80"/>
            </w:tcBorders>
            <w:shd w:val="clear" w:color="auto" w:fill="auto"/>
          </w:tcPr>
          <w:p w14:paraId="0AEECA58" w14:textId="2D0DF964" w:rsidR="002F3528" w:rsidRDefault="002F3528" w:rsidP="007C2E2B">
            <w:pPr>
              <w:spacing w:before="120" w:after="120"/>
              <w:jc w:val="center"/>
            </w:pPr>
          </w:p>
        </w:tc>
      </w:tr>
    </w:tbl>
    <w:p w14:paraId="3BC7758A" w14:textId="35E0B1D0" w:rsidR="004B4544" w:rsidRDefault="004B4544"/>
    <w:p w14:paraId="5C21BF06" w14:textId="595B4135" w:rsidR="0042263C" w:rsidRDefault="002F3528" w:rsidP="002F3528">
      <w:bookmarkStart w:id="1" w:name="_Hlk59025804"/>
      <w:r>
        <w:t xml:space="preserve">This plan is a starting point for planning a mathematics and statistics teaching programme for a year. The resources listed cover about 50% of your teaching time. They provide broad coverage of the content of the strands of the NZC and the aspects of the LPF. Further resources need to be added to meet the specific learning needs of your class, to support your local curriculum and to provide </w:t>
      </w:r>
      <w:proofErr w:type="gramStart"/>
      <w:r>
        <w:t>sufficient</w:t>
      </w:r>
      <w:proofErr w:type="gramEnd"/>
      <w:r>
        <w:t xml:space="preserve"> teaching for a full year.</w:t>
      </w:r>
      <w:bookmarkEnd w:id="1"/>
    </w:p>
    <w:sectPr w:rsidR="0042263C" w:rsidSect="006A3C8D">
      <w:headerReference w:type="default" r:id="rId29"/>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0D3A" w14:textId="77777777" w:rsidR="00D3426E" w:rsidRDefault="00D3426E" w:rsidP="002F3528">
      <w:pPr>
        <w:spacing w:after="0" w:line="240" w:lineRule="auto"/>
      </w:pPr>
      <w:r>
        <w:separator/>
      </w:r>
    </w:p>
  </w:endnote>
  <w:endnote w:type="continuationSeparator" w:id="0">
    <w:p w14:paraId="370BC281" w14:textId="77777777" w:rsidR="00D3426E" w:rsidRDefault="00D3426E" w:rsidP="002F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FD46" w14:textId="1E6D81E6" w:rsidR="002F3528" w:rsidRDefault="002F3528">
    <w:pPr>
      <w:pStyle w:val="Footer"/>
    </w:pPr>
    <w:r>
      <w:rPr>
        <w:color w:val="A6A6A6" w:themeColor="background1" w:themeShade="A6"/>
      </w:rPr>
      <w:t xml:space="preserve">Available from </w:t>
    </w:r>
    <w:hyperlink r:id="rId1" w:history="1">
      <w:r>
        <w:rPr>
          <w:rStyle w:val="Hyperlink"/>
          <w:color w:val="A6A6A6" w:themeColor="background1" w:themeShade="A6"/>
        </w:rPr>
        <w:t>https://nzmaths.co.nz/long-term-plans</w:t>
      </w:r>
    </w:hyperlink>
    <w:r>
      <w:rPr>
        <w:color w:val="A6A6A6" w:themeColor="background1" w:themeShade="A6"/>
      </w:rPr>
      <w:t>. All linked resources on nzmaths.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2BD4" w14:textId="77777777" w:rsidR="00D3426E" w:rsidRDefault="00D3426E" w:rsidP="002F3528">
      <w:pPr>
        <w:spacing w:after="0" w:line="240" w:lineRule="auto"/>
      </w:pPr>
      <w:r>
        <w:separator/>
      </w:r>
    </w:p>
  </w:footnote>
  <w:footnote w:type="continuationSeparator" w:id="0">
    <w:p w14:paraId="0D0F1F2C" w14:textId="77777777" w:rsidR="00D3426E" w:rsidRDefault="00D3426E" w:rsidP="002F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EB43" w14:textId="29055306" w:rsidR="002F3528" w:rsidRDefault="002F3528" w:rsidP="002F3528">
    <w:pPr>
      <w:pStyle w:val="Header"/>
      <w:jc w:val="right"/>
    </w:pPr>
    <w:r>
      <w:rPr>
        <w:noProof/>
      </w:rPr>
      <w:drawing>
        <wp:anchor distT="0" distB="0" distL="114300" distR="114300" simplePos="0" relativeHeight="251658240" behindDoc="0" locked="0" layoutInCell="1" allowOverlap="1" wp14:anchorId="4C4ED2DD" wp14:editId="1212E36D">
          <wp:simplePos x="0" y="0"/>
          <wp:positionH relativeFrom="column">
            <wp:posOffset>7599872</wp:posOffset>
          </wp:positionH>
          <wp:positionV relativeFrom="paragraph">
            <wp:posOffset>-1006</wp:posOffset>
          </wp:positionV>
          <wp:extent cx="2175510" cy="52197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A4C"/>
    <w:multiLevelType w:val="multilevel"/>
    <w:tmpl w:val="7E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05F30"/>
    <w:multiLevelType w:val="hybridMultilevel"/>
    <w:tmpl w:val="F244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A40AE"/>
    <w:multiLevelType w:val="multilevel"/>
    <w:tmpl w:val="271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F5197"/>
    <w:multiLevelType w:val="multilevel"/>
    <w:tmpl w:val="A85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22581"/>
    <w:multiLevelType w:val="multilevel"/>
    <w:tmpl w:val="E2EC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E68C6"/>
    <w:multiLevelType w:val="multilevel"/>
    <w:tmpl w:val="616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9526E"/>
    <w:multiLevelType w:val="multilevel"/>
    <w:tmpl w:val="F5F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C65AB"/>
    <w:multiLevelType w:val="multilevel"/>
    <w:tmpl w:val="3B1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346919"/>
    <w:multiLevelType w:val="multilevel"/>
    <w:tmpl w:val="69A6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F4A2A"/>
    <w:multiLevelType w:val="multilevel"/>
    <w:tmpl w:val="02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C4ED6"/>
    <w:multiLevelType w:val="multilevel"/>
    <w:tmpl w:val="67E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FC101B"/>
    <w:multiLevelType w:val="multilevel"/>
    <w:tmpl w:val="32C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E48E2"/>
    <w:multiLevelType w:val="hybridMultilevel"/>
    <w:tmpl w:val="A2AACD6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13" w15:restartNumberingAfterBreak="0">
    <w:nsid w:val="3711575D"/>
    <w:multiLevelType w:val="multilevel"/>
    <w:tmpl w:val="AA1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480C0B"/>
    <w:multiLevelType w:val="multilevel"/>
    <w:tmpl w:val="7F3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F75DA"/>
    <w:multiLevelType w:val="multilevel"/>
    <w:tmpl w:val="0C8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6470F"/>
    <w:multiLevelType w:val="multilevel"/>
    <w:tmpl w:val="9D3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A11C09"/>
    <w:multiLevelType w:val="hybridMultilevel"/>
    <w:tmpl w:val="896C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CB434F"/>
    <w:multiLevelType w:val="hybridMultilevel"/>
    <w:tmpl w:val="0D52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7B14BA"/>
    <w:multiLevelType w:val="multilevel"/>
    <w:tmpl w:val="B012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F82E81"/>
    <w:multiLevelType w:val="multilevel"/>
    <w:tmpl w:val="8FD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74376"/>
    <w:multiLevelType w:val="multilevel"/>
    <w:tmpl w:val="703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E33B4D"/>
    <w:multiLevelType w:val="multilevel"/>
    <w:tmpl w:val="62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D96E1A"/>
    <w:multiLevelType w:val="multilevel"/>
    <w:tmpl w:val="764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70190"/>
    <w:multiLevelType w:val="multilevel"/>
    <w:tmpl w:val="517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943575"/>
    <w:multiLevelType w:val="hybridMultilevel"/>
    <w:tmpl w:val="D168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32384D"/>
    <w:multiLevelType w:val="multilevel"/>
    <w:tmpl w:val="661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3D28F5"/>
    <w:multiLevelType w:val="multilevel"/>
    <w:tmpl w:val="DF1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81653F"/>
    <w:multiLevelType w:val="multilevel"/>
    <w:tmpl w:val="FF5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FD15C6"/>
    <w:multiLevelType w:val="hybridMultilevel"/>
    <w:tmpl w:val="0CE0408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30" w15:restartNumberingAfterBreak="0">
    <w:nsid w:val="74A23063"/>
    <w:multiLevelType w:val="multilevel"/>
    <w:tmpl w:val="02D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434ECA"/>
    <w:multiLevelType w:val="hybridMultilevel"/>
    <w:tmpl w:val="C0D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710EC8"/>
    <w:multiLevelType w:val="multilevel"/>
    <w:tmpl w:val="8BA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8C49BC"/>
    <w:multiLevelType w:val="multilevel"/>
    <w:tmpl w:val="03F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8"/>
  </w:num>
  <w:num w:numId="3">
    <w:abstractNumId w:val="1"/>
  </w:num>
  <w:num w:numId="4">
    <w:abstractNumId w:val="17"/>
  </w:num>
  <w:num w:numId="5">
    <w:abstractNumId w:val="25"/>
  </w:num>
  <w:num w:numId="6">
    <w:abstractNumId w:val="33"/>
  </w:num>
  <w:num w:numId="7">
    <w:abstractNumId w:val="22"/>
  </w:num>
  <w:num w:numId="8">
    <w:abstractNumId w:val="3"/>
  </w:num>
  <w:num w:numId="9">
    <w:abstractNumId w:val="7"/>
  </w:num>
  <w:num w:numId="10">
    <w:abstractNumId w:val="20"/>
  </w:num>
  <w:num w:numId="11">
    <w:abstractNumId w:val="28"/>
  </w:num>
  <w:num w:numId="12">
    <w:abstractNumId w:val="32"/>
  </w:num>
  <w:num w:numId="13">
    <w:abstractNumId w:val="14"/>
  </w:num>
  <w:num w:numId="14">
    <w:abstractNumId w:val="23"/>
  </w:num>
  <w:num w:numId="15">
    <w:abstractNumId w:val="21"/>
  </w:num>
  <w:num w:numId="16">
    <w:abstractNumId w:val="11"/>
  </w:num>
  <w:num w:numId="17">
    <w:abstractNumId w:val="13"/>
  </w:num>
  <w:num w:numId="18">
    <w:abstractNumId w:val="16"/>
  </w:num>
  <w:num w:numId="19">
    <w:abstractNumId w:val="26"/>
  </w:num>
  <w:num w:numId="20">
    <w:abstractNumId w:val="9"/>
  </w:num>
  <w:num w:numId="21">
    <w:abstractNumId w:val="15"/>
  </w:num>
  <w:num w:numId="22">
    <w:abstractNumId w:val="12"/>
  </w:num>
  <w:num w:numId="23">
    <w:abstractNumId w:val="27"/>
  </w:num>
  <w:num w:numId="24">
    <w:abstractNumId w:val="19"/>
  </w:num>
  <w:num w:numId="25">
    <w:abstractNumId w:val="10"/>
  </w:num>
  <w:num w:numId="26">
    <w:abstractNumId w:val="2"/>
  </w:num>
  <w:num w:numId="27">
    <w:abstractNumId w:val="4"/>
  </w:num>
  <w:num w:numId="28">
    <w:abstractNumId w:val="6"/>
  </w:num>
  <w:num w:numId="29">
    <w:abstractNumId w:val="24"/>
  </w:num>
  <w:num w:numId="30">
    <w:abstractNumId w:val="0"/>
  </w:num>
  <w:num w:numId="31">
    <w:abstractNumId w:val="5"/>
  </w:num>
  <w:num w:numId="32">
    <w:abstractNumId w:val="30"/>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4E1A"/>
    <w:rsid w:val="000A6A28"/>
    <w:rsid w:val="000B0F5E"/>
    <w:rsid w:val="001B0A5D"/>
    <w:rsid w:val="001D77D7"/>
    <w:rsid w:val="002210B4"/>
    <w:rsid w:val="002870C8"/>
    <w:rsid w:val="00292319"/>
    <w:rsid w:val="002F3528"/>
    <w:rsid w:val="0035227E"/>
    <w:rsid w:val="003E2AF4"/>
    <w:rsid w:val="003E2CCE"/>
    <w:rsid w:val="004114F3"/>
    <w:rsid w:val="0042263C"/>
    <w:rsid w:val="00487FCF"/>
    <w:rsid w:val="004961F9"/>
    <w:rsid w:val="00497EED"/>
    <w:rsid w:val="004B4544"/>
    <w:rsid w:val="005B33B0"/>
    <w:rsid w:val="00606B78"/>
    <w:rsid w:val="00612964"/>
    <w:rsid w:val="0062232A"/>
    <w:rsid w:val="006649FE"/>
    <w:rsid w:val="00696BBF"/>
    <w:rsid w:val="006A3C8D"/>
    <w:rsid w:val="006C3124"/>
    <w:rsid w:val="006C563F"/>
    <w:rsid w:val="006E398E"/>
    <w:rsid w:val="006E51F5"/>
    <w:rsid w:val="006F025F"/>
    <w:rsid w:val="00722F53"/>
    <w:rsid w:val="00757FF0"/>
    <w:rsid w:val="0077202E"/>
    <w:rsid w:val="007C2E2B"/>
    <w:rsid w:val="008304C1"/>
    <w:rsid w:val="00845A02"/>
    <w:rsid w:val="008B5DBB"/>
    <w:rsid w:val="008C519F"/>
    <w:rsid w:val="008D4E95"/>
    <w:rsid w:val="008E0F23"/>
    <w:rsid w:val="009345BC"/>
    <w:rsid w:val="009554C4"/>
    <w:rsid w:val="00A356C0"/>
    <w:rsid w:val="00AF79E2"/>
    <w:rsid w:val="00B815B5"/>
    <w:rsid w:val="00B91F4B"/>
    <w:rsid w:val="00BD046C"/>
    <w:rsid w:val="00C2559E"/>
    <w:rsid w:val="00C44A24"/>
    <w:rsid w:val="00C45D3B"/>
    <w:rsid w:val="00C8712A"/>
    <w:rsid w:val="00CD210E"/>
    <w:rsid w:val="00D30517"/>
    <w:rsid w:val="00D3426E"/>
    <w:rsid w:val="00D96FDD"/>
    <w:rsid w:val="00DA0368"/>
    <w:rsid w:val="00DB2B3E"/>
    <w:rsid w:val="00DB2C4D"/>
    <w:rsid w:val="00E276A4"/>
    <w:rsid w:val="00E477B1"/>
    <w:rsid w:val="00E514A5"/>
    <w:rsid w:val="00E86AA3"/>
    <w:rsid w:val="00EB05CE"/>
    <w:rsid w:val="00EB3F5C"/>
    <w:rsid w:val="00EF5E54"/>
    <w:rsid w:val="00FB5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19C2"/>
  <w15:chartTrackingRefBased/>
  <w15:docId w15:val="{BE36C183-28BB-4A0B-A5DD-4B9D645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2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5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F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8E0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1F4B"/>
    <w:pPr>
      <w:ind w:left="720"/>
      <w:contextualSpacing/>
    </w:pPr>
  </w:style>
  <w:style w:type="character" w:styleId="Hyperlink">
    <w:name w:val="Hyperlink"/>
    <w:basedOn w:val="DefaultParagraphFont"/>
    <w:uiPriority w:val="99"/>
    <w:unhideWhenUsed/>
    <w:rsid w:val="00497EED"/>
    <w:rPr>
      <w:color w:val="0563C1" w:themeColor="hyperlink"/>
      <w:u w:val="single"/>
    </w:rPr>
  </w:style>
  <w:style w:type="character" w:styleId="UnresolvedMention">
    <w:name w:val="Unresolved Mention"/>
    <w:basedOn w:val="DefaultParagraphFont"/>
    <w:uiPriority w:val="99"/>
    <w:semiHidden/>
    <w:unhideWhenUsed/>
    <w:rsid w:val="00497EED"/>
    <w:rPr>
      <w:color w:val="605E5C"/>
      <w:shd w:val="clear" w:color="auto" w:fill="E1DFDD"/>
    </w:rPr>
  </w:style>
  <w:style w:type="paragraph" w:styleId="BalloonText">
    <w:name w:val="Balloon Text"/>
    <w:basedOn w:val="Normal"/>
    <w:link w:val="BalloonTextChar"/>
    <w:uiPriority w:val="99"/>
    <w:semiHidden/>
    <w:unhideWhenUsed/>
    <w:rsid w:val="008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F"/>
    <w:rPr>
      <w:rFonts w:ascii="Segoe UI" w:hAnsi="Segoe UI" w:cs="Segoe UI"/>
      <w:sz w:val="18"/>
      <w:szCs w:val="18"/>
    </w:rPr>
  </w:style>
  <w:style w:type="character" w:customStyle="1" w:styleId="Heading4Char">
    <w:name w:val="Heading 4 Char"/>
    <w:basedOn w:val="DefaultParagraphFont"/>
    <w:link w:val="Heading4"/>
    <w:uiPriority w:val="9"/>
    <w:semiHidden/>
    <w:rsid w:val="00CD210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210E"/>
    <w:rPr>
      <w:b/>
      <w:bCs/>
    </w:rPr>
  </w:style>
  <w:style w:type="paragraph" w:styleId="Header">
    <w:name w:val="header"/>
    <w:basedOn w:val="Normal"/>
    <w:link w:val="HeaderChar"/>
    <w:uiPriority w:val="99"/>
    <w:unhideWhenUsed/>
    <w:rsid w:val="002F3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528"/>
  </w:style>
  <w:style w:type="paragraph" w:styleId="Footer">
    <w:name w:val="footer"/>
    <w:basedOn w:val="Normal"/>
    <w:link w:val="FooterChar"/>
    <w:uiPriority w:val="99"/>
    <w:unhideWhenUsed/>
    <w:rsid w:val="002F3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29">
      <w:bodyDiv w:val="1"/>
      <w:marLeft w:val="0"/>
      <w:marRight w:val="0"/>
      <w:marTop w:val="0"/>
      <w:marBottom w:val="0"/>
      <w:divBdr>
        <w:top w:val="none" w:sz="0" w:space="0" w:color="auto"/>
        <w:left w:val="none" w:sz="0" w:space="0" w:color="auto"/>
        <w:bottom w:val="none" w:sz="0" w:space="0" w:color="auto"/>
        <w:right w:val="none" w:sz="0" w:space="0" w:color="auto"/>
      </w:divBdr>
    </w:div>
    <w:div w:id="500776308">
      <w:bodyDiv w:val="1"/>
      <w:marLeft w:val="0"/>
      <w:marRight w:val="0"/>
      <w:marTop w:val="0"/>
      <w:marBottom w:val="0"/>
      <w:divBdr>
        <w:top w:val="none" w:sz="0" w:space="0" w:color="auto"/>
        <w:left w:val="none" w:sz="0" w:space="0" w:color="auto"/>
        <w:bottom w:val="none" w:sz="0" w:space="0" w:color="auto"/>
        <w:right w:val="none" w:sz="0" w:space="0" w:color="auto"/>
      </w:divBdr>
    </w:div>
    <w:div w:id="570891443">
      <w:bodyDiv w:val="1"/>
      <w:marLeft w:val="0"/>
      <w:marRight w:val="0"/>
      <w:marTop w:val="0"/>
      <w:marBottom w:val="0"/>
      <w:divBdr>
        <w:top w:val="none" w:sz="0" w:space="0" w:color="auto"/>
        <w:left w:val="none" w:sz="0" w:space="0" w:color="auto"/>
        <w:bottom w:val="none" w:sz="0" w:space="0" w:color="auto"/>
        <w:right w:val="none" w:sz="0" w:space="0" w:color="auto"/>
      </w:divBdr>
    </w:div>
    <w:div w:id="654457691">
      <w:bodyDiv w:val="1"/>
      <w:marLeft w:val="0"/>
      <w:marRight w:val="0"/>
      <w:marTop w:val="0"/>
      <w:marBottom w:val="0"/>
      <w:divBdr>
        <w:top w:val="none" w:sz="0" w:space="0" w:color="auto"/>
        <w:left w:val="none" w:sz="0" w:space="0" w:color="auto"/>
        <w:bottom w:val="none" w:sz="0" w:space="0" w:color="auto"/>
        <w:right w:val="none" w:sz="0" w:space="0" w:color="auto"/>
      </w:divBdr>
    </w:div>
    <w:div w:id="996803418">
      <w:bodyDiv w:val="1"/>
      <w:marLeft w:val="0"/>
      <w:marRight w:val="0"/>
      <w:marTop w:val="0"/>
      <w:marBottom w:val="0"/>
      <w:divBdr>
        <w:top w:val="none" w:sz="0" w:space="0" w:color="auto"/>
        <w:left w:val="none" w:sz="0" w:space="0" w:color="auto"/>
        <w:bottom w:val="none" w:sz="0" w:space="0" w:color="auto"/>
        <w:right w:val="none" w:sz="0" w:space="0" w:color="auto"/>
      </w:divBdr>
    </w:div>
    <w:div w:id="1072772237">
      <w:bodyDiv w:val="1"/>
      <w:marLeft w:val="0"/>
      <w:marRight w:val="0"/>
      <w:marTop w:val="0"/>
      <w:marBottom w:val="0"/>
      <w:divBdr>
        <w:top w:val="none" w:sz="0" w:space="0" w:color="auto"/>
        <w:left w:val="none" w:sz="0" w:space="0" w:color="auto"/>
        <w:bottom w:val="none" w:sz="0" w:space="0" w:color="auto"/>
        <w:right w:val="none" w:sz="0" w:space="0" w:color="auto"/>
      </w:divBdr>
    </w:div>
    <w:div w:id="1203127169">
      <w:bodyDiv w:val="1"/>
      <w:marLeft w:val="0"/>
      <w:marRight w:val="0"/>
      <w:marTop w:val="0"/>
      <w:marBottom w:val="0"/>
      <w:divBdr>
        <w:top w:val="none" w:sz="0" w:space="0" w:color="auto"/>
        <w:left w:val="none" w:sz="0" w:space="0" w:color="auto"/>
        <w:bottom w:val="none" w:sz="0" w:space="0" w:color="auto"/>
        <w:right w:val="none" w:sz="0" w:space="0" w:color="auto"/>
      </w:divBdr>
    </w:div>
    <w:div w:id="1270116284">
      <w:bodyDiv w:val="1"/>
      <w:marLeft w:val="0"/>
      <w:marRight w:val="0"/>
      <w:marTop w:val="0"/>
      <w:marBottom w:val="0"/>
      <w:divBdr>
        <w:top w:val="none" w:sz="0" w:space="0" w:color="auto"/>
        <w:left w:val="none" w:sz="0" w:space="0" w:color="auto"/>
        <w:bottom w:val="none" w:sz="0" w:space="0" w:color="auto"/>
        <w:right w:val="none" w:sz="0" w:space="0" w:color="auto"/>
      </w:divBdr>
    </w:div>
    <w:div w:id="1281836792">
      <w:bodyDiv w:val="1"/>
      <w:marLeft w:val="0"/>
      <w:marRight w:val="0"/>
      <w:marTop w:val="0"/>
      <w:marBottom w:val="0"/>
      <w:divBdr>
        <w:top w:val="none" w:sz="0" w:space="0" w:color="auto"/>
        <w:left w:val="none" w:sz="0" w:space="0" w:color="auto"/>
        <w:bottom w:val="none" w:sz="0" w:space="0" w:color="auto"/>
        <w:right w:val="none" w:sz="0" w:space="0" w:color="auto"/>
      </w:divBdr>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474517753">
      <w:bodyDiv w:val="1"/>
      <w:marLeft w:val="0"/>
      <w:marRight w:val="0"/>
      <w:marTop w:val="0"/>
      <w:marBottom w:val="0"/>
      <w:divBdr>
        <w:top w:val="none" w:sz="0" w:space="0" w:color="auto"/>
        <w:left w:val="none" w:sz="0" w:space="0" w:color="auto"/>
        <w:bottom w:val="none" w:sz="0" w:space="0" w:color="auto"/>
        <w:right w:val="none" w:sz="0" w:space="0" w:color="auto"/>
      </w:divBdr>
    </w:div>
    <w:div w:id="1556811963">
      <w:bodyDiv w:val="1"/>
      <w:marLeft w:val="0"/>
      <w:marRight w:val="0"/>
      <w:marTop w:val="0"/>
      <w:marBottom w:val="0"/>
      <w:divBdr>
        <w:top w:val="none" w:sz="0" w:space="0" w:color="auto"/>
        <w:left w:val="none" w:sz="0" w:space="0" w:color="auto"/>
        <w:bottom w:val="none" w:sz="0" w:space="0" w:color="auto"/>
        <w:right w:val="none" w:sz="0" w:space="0" w:color="auto"/>
      </w:divBdr>
    </w:div>
    <w:div w:id="1666014868">
      <w:bodyDiv w:val="1"/>
      <w:marLeft w:val="0"/>
      <w:marRight w:val="0"/>
      <w:marTop w:val="0"/>
      <w:marBottom w:val="0"/>
      <w:divBdr>
        <w:top w:val="none" w:sz="0" w:space="0" w:color="auto"/>
        <w:left w:val="none" w:sz="0" w:space="0" w:color="auto"/>
        <w:bottom w:val="none" w:sz="0" w:space="0" w:color="auto"/>
        <w:right w:val="none" w:sz="0" w:space="0" w:color="auto"/>
      </w:divBdr>
    </w:div>
    <w:div w:id="1817719049">
      <w:bodyDiv w:val="1"/>
      <w:marLeft w:val="0"/>
      <w:marRight w:val="0"/>
      <w:marTop w:val="0"/>
      <w:marBottom w:val="0"/>
      <w:divBdr>
        <w:top w:val="none" w:sz="0" w:space="0" w:color="auto"/>
        <w:left w:val="none" w:sz="0" w:space="0" w:color="auto"/>
        <w:bottom w:val="none" w:sz="0" w:space="0" w:color="auto"/>
        <w:right w:val="none" w:sz="0" w:space="0" w:color="auto"/>
      </w:divBdr>
    </w:div>
    <w:div w:id="1838303804">
      <w:bodyDiv w:val="1"/>
      <w:marLeft w:val="0"/>
      <w:marRight w:val="0"/>
      <w:marTop w:val="0"/>
      <w:marBottom w:val="0"/>
      <w:divBdr>
        <w:top w:val="none" w:sz="0" w:space="0" w:color="auto"/>
        <w:left w:val="none" w:sz="0" w:space="0" w:color="auto"/>
        <w:bottom w:val="none" w:sz="0" w:space="0" w:color="auto"/>
        <w:right w:val="none" w:sz="0" w:space="0" w:color="auto"/>
      </w:divBdr>
    </w:div>
    <w:div w:id="1895118865">
      <w:bodyDiv w:val="1"/>
      <w:marLeft w:val="0"/>
      <w:marRight w:val="0"/>
      <w:marTop w:val="0"/>
      <w:marBottom w:val="0"/>
      <w:divBdr>
        <w:top w:val="none" w:sz="0" w:space="0" w:color="auto"/>
        <w:left w:val="none" w:sz="0" w:space="0" w:color="auto"/>
        <w:bottom w:val="none" w:sz="0" w:space="0" w:color="auto"/>
        <w:right w:val="none" w:sz="0" w:space="0" w:color="auto"/>
      </w:divBdr>
    </w:div>
    <w:div w:id="1912345440">
      <w:bodyDiv w:val="1"/>
      <w:marLeft w:val="0"/>
      <w:marRight w:val="0"/>
      <w:marTop w:val="0"/>
      <w:marBottom w:val="0"/>
      <w:divBdr>
        <w:top w:val="none" w:sz="0" w:space="0" w:color="auto"/>
        <w:left w:val="none" w:sz="0" w:space="0" w:color="auto"/>
        <w:bottom w:val="none" w:sz="0" w:space="0" w:color="auto"/>
        <w:right w:val="none" w:sz="0" w:space="0" w:color="auto"/>
      </w:divBdr>
    </w:div>
    <w:div w:id="2071998347">
      <w:bodyDiv w:val="1"/>
      <w:marLeft w:val="0"/>
      <w:marRight w:val="0"/>
      <w:marTop w:val="0"/>
      <w:marBottom w:val="0"/>
      <w:divBdr>
        <w:top w:val="none" w:sz="0" w:space="0" w:color="auto"/>
        <w:left w:val="none" w:sz="0" w:space="0" w:color="auto"/>
        <w:bottom w:val="none" w:sz="0" w:space="0" w:color="auto"/>
        <w:right w:val="none" w:sz="0" w:space="0" w:color="auto"/>
      </w:divBdr>
    </w:div>
    <w:div w:id="2123769162">
      <w:bodyDiv w:val="1"/>
      <w:marLeft w:val="0"/>
      <w:marRight w:val="0"/>
      <w:marTop w:val="0"/>
      <w:marBottom w:val="0"/>
      <w:divBdr>
        <w:top w:val="none" w:sz="0" w:space="0" w:color="auto"/>
        <w:left w:val="none" w:sz="0" w:space="0" w:color="auto"/>
        <w:bottom w:val="none" w:sz="0" w:space="0" w:color="auto"/>
        <w:right w:val="none" w:sz="0" w:space="0" w:color="auto"/>
      </w:divBdr>
    </w:div>
    <w:div w:id="2145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node/35782" TargetMode="External"/><Relationship Id="rId13" Type="http://schemas.openxmlformats.org/officeDocument/2006/relationships/hyperlink" Target="https://nzmaths.co.nz/node/672" TargetMode="External"/><Relationship Id="rId18" Type="http://schemas.openxmlformats.org/officeDocument/2006/relationships/hyperlink" Target="https://nzmaths.co.nz/node/808" TargetMode="External"/><Relationship Id="rId26" Type="http://schemas.openxmlformats.org/officeDocument/2006/relationships/hyperlink" Target="https://nzmaths.co.nz/node/27085" TargetMode="External"/><Relationship Id="rId3" Type="http://schemas.openxmlformats.org/officeDocument/2006/relationships/styles" Target="styles.xml"/><Relationship Id="rId21" Type="http://schemas.openxmlformats.org/officeDocument/2006/relationships/hyperlink" Target="https://nzmaths.co.nz/node/358" TargetMode="External"/><Relationship Id="rId7" Type="http://schemas.openxmlformats.org/officeDocument/2006/relationships/endnotes" Target="endnotes.xml"/><Relationship Id="rId12" Type="http://schemas.openxmlformats.org/officeDocument/2006/relationships/hyperlink" Target="https://nzmaths.co.nz/node/27897" TargetMode="External"/><Relationship Id="rId17" Type="http://schemas.openxmlformats.org/officeDocument/2006/relationships/hyperlink" Target="https://nzmaths.co.nz/node/153" TargetMode="External"/><Relationship Id="rId25" Type="http://schemas.openxmlformats.org/officeDocument/2006/relationships/hyperlink" Target="https://nzmaths.co.nz/node/18269" TargetMode="External"/><Relationship Id="rId2" Type="http://schemas.openxmlformats.org/officeDocument/2006/relationships/numbering" Target="numbering.xml"/><Relationship Id="rId16" Type="http://schemas.openxmlformats.org/officeDocument/2006/relationships/hyperlink" Target="https://nzmaths.co.nz/node/379" TargetMode="External"/><Relationship Id="rId20" Type="http://schemas.openxmlformats.org/officeDocument/2006/relationships/hyperlink" Target="https://nzmaths.co.nz/node/56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zmaths.co.nz/node/18270" TargetMode="External"/><Relationship Id="rId24" Type="http://schemas.openxmlformats.org/officeDocument/2006/relationships/hyperlink" Target="https://nzmaths.co.nz/node/6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zmaths.co.nz/node/363" TargetMode="External"/><Relationship Id="rId23" Type="http://schemas.openxmlformats.org/officeDocument/2006/relationships/hyperlink" Target="https://nzmaths.co.nz/sites/default/files/Numeracy/2008numPDFs/NumBk6.pdf" TargetMode="External"/><Relationship Id="rId28" Type="http://schemas.openxmlformats.org/officeDocument/2006/relationships/hyperlink" Target="https://nzmaths.co.nz/node/178" TargetMode="External"/><Relationship Id="rId10" Type="http://schemas.openxmlformats.org/officeDocument/2006/relationships/hyperlink" Target="https://nzmaths.co.nz/node/196" TargetMode="External"/><Relationship Id="rId19" Type="http://schemas.openxmlformats.org/officeDocument/2006/relationships/hyperlink" Target="https://nzmaths.co.nz/node/47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zmaths.co.nz/node/431" TargetMode="External"/><Relationship Id="rId14" Type="http://schemas.openxmlformats.org/officeDocument/2006/relationships/hyperlink" Target="https://nzmaths.co.nz/node/17618" TargetMode="External"/><Relationship Id="rId22" Type="http://schemas.openxmlformats.org/officeDocument/2006/relationships/hyperlink" Target="https://nzmaths.co.nz/sites/default/files/Numeracy/numPDFs/NumBk5.pdf" TargetMode="External"/><Relationship Id="rId27" Type="http://schemas.openxmlformats.org/officeDocument/2006/relationships/hyperlink" Target="https://nzmaths.co.nz/node/13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zmaths.co.nz/long-term-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28DC-59B9-4FE0-866E-A8498AB1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Wright</dc:creator>
  <cp:keywords/>
  <dc:description/>
  <cp:lastModifiedBy>Andrew  Tagg</cp:lastModifiedBy>
  <cp:revision>7</cp:revision>
  <cp:lastPrinted>2020-09-07T20:28:00Z</cp:lastPrinted>
  <dcterms:created xsi:type="dcterms:W3CDTF">2020-09-09T23:59:00Z</dcterms:created>
  <dcterms:modified xsi:type="dcterms:W3CDTF">2020-12-16T02:57:00Z</dcterms:modified>
</cp:coreProperties>
</file>